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00" w:rsidRPr="00CA4C12" w:rsidRDefault="00531329" w:rsidP="00286300">
      <w:pPr>
        <w:pStyle w:val="Heading1"/>
        <w:rPr>
          <w:u w:val="none"/>
        </w:rPr>
      </w:pPr>
      <w:bookmarkStart w:id="0" w:name="_GoBack"/>
      <w:bookmarkEnd w:id="0"/>
      <w:r w:rsidRPr="00CA4C12">
        <w:rPr>
          <w:u w:val="none"/>
        </w:rPr>
        <w:t>Forest</w:t>
      </w:r>
      <w:r w:rsidR="00286300" w:rsidRPr="00CA4C12">
        <w:rPr>
          <w:u w:val="none"/>
        </w:rPr>
        <w:t xml:space="preserve"> Academy </w:t>
      </w:r>
      <w:r w:rsidR="00320544" w:rsidRPr="00CA4C12">
        <w:rPr>
          <w:u w:val="none"/>
        </w:rPr>
        <w:t>2016-17</w:t>
      </w:r>
    </w:p>
    <w:p w:rsidR="00286300" w:rsidRDefault="00286300" w:rsidP="00286300">
      <w:pPr>
        <w:pStyle w:val="Heading1"/>
        <w:rPr>
          <w:u w:val="none"/>
        </w:rPr>
      </w:pPr>
      <w:r w:rsidRPr="00CA4C12">
        <w:rPr>
          <w:u w:val="none"/>
        </w:rPr>
        <w:t>Pupil Premium</w:t>
      </w:r>
      <w:r w:rsidR="00B979C5" w:rsidRPr="00CA4C12">
        <w:rPr>
          <w:u w:val="none"/>
        </w:rPr>
        <w:t xml:space="preserve"> </w:t>
      </w:r>
      <w:r w:rsidR="00075D7C">
        <w:rPr>
          <w:u w:val="none"/>
        </w:rPr>
        <w:t>Outcomes</w:t>
      </w:r>
    </w:p>
    <w:tbl>
      <w:tblPr>
        <w:tblStyle w:val="TableGrid"/>
        <w:tblW w:w="0" w:type="auto"/>
        <w:tblInd w:w="0" w:type="dxa"/>
        <w:tblLook w:val="04A0" w:firstRow="1" w:lastRow="0" w:firstColumn="1" w:lastColumn="0" w:noHBand="0" w:noVBand="1"/>
      </w:tblPr>
      <w:tblGrid>
        <w:gridCol w:w="7621"/>
        <w:gridCol w:w="3061"/>
      </w:tblGrid>
      <w:tr w:rsidR="00B96F20" w:rsidTr="00B96F20">
        <w:tc>
          <w:tcPr>
            <w:tcW w:w="7621" w:type="dxa"/>
          </w:tcPr>
          <w:p w:rsidR="00B96F20" w:rsidRPr="000F7F1A" w:rsidRDefault="00B96F20" w:rsidP="00B96F20">
            <w:r w:rsidRPr="000F7F1A">
              <w:rPr>
                <w:rFonts w:asciiTheme="minorHAnsi" w:hAnsiTheme="minorHAnsi" w:cstheme="minorHAnsi"/>
                <w:sz w:val="24"/>
                <w:szCs w:val="24"/>
              </w:rPr>
              <w:t>Number of pupils on roll</w:t>
            </w:r>
          </w:p>
        </w:tc>
        <w:tc>
          <w:tcPr>
            <w:tcW w:w="3061" w:type="dxa"/>
          </w:tcPr>
          <w:p w:rsidR="00B96F20" w:rsidRPr="000F7F1A" w:rsidRDefault="00B96F20" w:rsidP="000F7F1A">
            <w:pPr>
              <w:jc w:val="right"/>
            </w:pPr>
            <w:r w:rsidRPr="000F7F1A">
              <w:rPr>
                <w:rFonts w:asciiTheme="minorHAnsi" w:hAnsiTheme="minorHAnsi" w:cstheme="minorHAnsi"/>
                <w:sz w:val="24"/>
                <w:szCs w:val="24"/>
              </w:rPr>
              <w:t>3</w:t>
            </w:r>
            <w:r w:rsidR="000F7F1A" w:rsidRPr="000F7F1A">
              <w:rPr>
                <w:rFonts w:asciiTheme="minorHAnsi" w:hAnsiTheme="minorHAnsi" w:cstheme="minorHAnsi"/>
                <w:sz w:val="24"/>
                <w:szCs w:val="24"/>
              </w:rPr>
              <w:t>70</w:t>
            </w:r>
          </w:p>
        </w:tc>
      </w:tr>
      <w:tr w:rsidR="00B96F20" w:rsidRPr="007C7A96" w:rsidTr="00B96F20">
        <w:tc>
          <w:tcPr>
            <w:tcW w:w="7621" w:type="dxa"/>
          </w:tcPr>
          <w:p w:rsidR="00B96F20" w:rsidRPr="007C7A96" w:rsidRDefault="00B96F20" w:rsidP="00B96F20">
            <w:r w:rsidRPr="007C7A96">
              <w:rPr>
                <w:rFonts w:asciiTheme="minorHAnsi" w:hAnsiTheme="minorHAnsi" w:cstheme="minorHAnsi"/>
                <w:sz w:val="24"/>
                <w:szCs w:val="24"/>
              </w:rPr>
              <w:t>Number of pupils eligible for pupil premium grant</w:t>
            </w:r>
          </w:p>
        </w:tc>
        <w:tc>
          <w:tcPr>
            <w:tcW w:w="3061" w:type="dxa"/>
          </w:tcPr>
          <w:p w:rsidR="00B96F20" w:rsidRPr="007C7A96" w:rsidRDefault="007C7A96" w:rsidP="000F7F1A">
            <w:pPr>
              <w:jc w:val="right"/>
            </w:pPr>
            <w:r w:rsidRPr="007C7A96">
              <w:rPr>
                <w:rFonts w:asciiTheme="minorHAnsi" w:hAnsiTheme="minorHAnsi" w:cstheme="minorHAnsi"/>
                <w:sz w:val="24"/>
                <w:szCs w:val="24"/>
              </w:rPr>
              <w:t>85</w:t>
            </w:r>
          </w:p>
        </w:tc>
      </w:tr>
      <w:tr w:rsidR="00B96F20" w:rsidRPr="007C7A96" w:rsidTr="00B96F20">
        <w:tc>
          <w:tcPr>
            <w:tcW w:w="7621" w:type="dxa"/>
          </w:tcPr>
          <w:p w:rsidR="00B96F20" w:rsidRPr="007C7A96" w:rsidRDefault="00B96F20" w:rsidP="00B96F20">
            <w:r w:rsidRPr="007C7A96">
              <w:rPr>
                <w:rFonts w:asciiTheme="minorHAnsi" w:hAnsiTheme="minorHAnsi" w:cstheme="minorHAnsi"/>
                <w:sz w:val="24"/>
                <w:szCs w:val="24"/>
              </w:rPr>
              <w:t>Total amount of pupil premium grant received</w:t>
            </w:r>
          </w:p>
        </w:tc>
        <w:tc>
          <w:tcPr>
            <w:tcW w:w="3061" w:type="dxa"/>
          </w:tcPr>
          <w:p w:rsidR="00B96F20" w:rsidRPr="007C7A96" w:rsidRDefault="00B96F20" w:rsidP="000F7F1A">
            <w:pPr>
              <w:jc w:val="right"/>
            </w:pPr>
            <w:r w:rsidRPr="007C7A96">
              <w:rPr>
                <w:rFonts w:asciiTheme="minorHAnsi" w:hAnsiTheme="minorHAnsi" w:cstheme="minorHAnsi"/>
                <w:sz w:val="24"/>
                <w:szCs w:val="24"/>
              </w:rPr>
              <w:t>£111,471</w:t>
            </w:r>
            <w:r w:rsidR="00CE700B" w:rsidRPr="007C7A96">
              <w:rPr>
                <w:rFonts w:asciiTheme="minorHAnsi" w:hAnsiTheme="minorHAnsi" w:cstheme="minorHAnsi"/>
                <w:sz w:val="24"/>
                <w:szCs w:val="24"/>
              </w:rPr>
              <w:t>.00</w:t>
            </w:r>
          </w:p>
        </w:tc>
      </w:tr>
      <w:tr w:rsidR="00B96F20" w:rsidRPr="007C7A96" w:rsidTr="00B96F20">
        <w:tc>
          <w:tcPr>
            <w:tcW w:w="7621" w:type="dxa"/>
          </w:tcPr>
          <w:p w:rsidR="00B96F20" w:rsidRPr="007C7A96" w:rsidRDefault="00B96F20" w:rsidP="00B96F20">
            <w:r w:rsidRPr="007C7A96">
              <w:rPr>
                <w:rFonts w:asciiTheme="minorHAnsi" w:hAnsiTheme="minorHAnsi" w:cstheme="minorHAnsi"/>
                <w:sz w:val="24"/>
                <w:szCs w:val="24"/>
              </w:rPr>
              <w:t>Pupil Premium grant carried forwards from previous year</w:t>
            </w:r>
          </w:p>
        </w:tc>
        <w:tc>
          <w:tcPr>
            <w:tcW w:w="3061" w:type="dxa"/>
          </w:tcPr>
          <w:p w:rsidR="00B96F20" w:rsidRPr="007C7A96" w:rsidRDefault="000F7F1A" w:rsidP="000F7F1A">
            <w:pPr>
              <w:jc w:val="right"/>
            </w:pPr>
            <w:r w:rsidRPr="007C7A96">
              <w:rPr>
                <w:rFonts w:asciiTheme="minorHAnsi" w:hAnsiTheme="minorHAnsi" w:cstheme="minorHAnsi"/>
                <w:sz w:val="24"/>
                <w:szCs w:val="24"/>
              </w:rPr>
              <w:t>£53,532.00</w:t>
            </w:r>
          </w:p>
        </w:tc>
      </w:tr>
      <w:tr w:rsidR="000F7F1A" w:rsidRPr="007C7A96" w:rsidTr="00B96F20">
        <w:tc>
          <w:tcPr>
            <w:tcW w:w="7621" w:type="dxa"/>
          </w:tcPr>
          <w:p w:rsidR="000F7F1A" w:rsidRPr="007C7A96" w:rsidRDefault="00CE700B" w:rsidP="00B96F20">
            <w:pPr>
              <w:rPr>
                <w:rFonts w:asciiTheme="minorHAnsi" w:hAnsiTheme="minorHAnsi" w:cstheme="minorHAnsi"/>
                <w:sz w:val="24"/>
                <w:szCs w:val="24"/>
              </w:rPr>
            </w:pPr>
            <w:r w:rsidRPr="007C7A96">
              <w:rPr>
                <w:rFonts w:asciiTheme="minorHAnsi" w:hAnsiTheme="minorHAnsi" w:cstheme="minorHAnsi"/>
                <w:sz w:val="24"/>
                <w:szCs w:val="24"/>
              </w:rPr>
              <w:t>Total</w:t>
            </w:r>
          </w:p>
        </w:tc>
        <w:tc>
          <w:tcPr>
            <w:tcW w:w="3061" w:type="dxa"/>
          </w:tcPr>
          <w:p w:rsidR="000F7F1A" w:rsidRPr="007C7A96" w:rsidRDefault="00CE700B" w:rsidP="000F7F1A">
            <w:pPr>
              <w:jc w:val="right"/>
              <w:rPr>
                <w:rFonts w:asciiTheme="minorHAnsi" w:hAnsiTheme="minorHAnsi" w:cstheme="minorHAnsi"/>
                <w:sz w:val="24"/>
                <w:szCs w:val="24"/>
              </w:rPr>
            </w:pPr>
            <w:r w:rsidRPr="007C7A96">
              <w:rPr>
                <w:rFonts w:asciiTheme="minorHAnsi" w:hAnsiTheme="minorHAnsi" w:cstheme="minorHAnsi"/>
                <w:sz w:val="24"/>
                <w:szCs w:val="24"/>
              </w:rPr>
              <w:t>£165,003.00</w:t>
            </w:r>
          </w:p>
        </w:tc>
      </w:tr>
      <w:tr w:rsidR="00CE700B" w:rsidRPr="007C7A96" w:rsidTr="00B96F20">
        <w:tc>
          <w:tcPr>
            <w:tcW w:w="7621" w:type="dxa"/>
          </w:tcPr>
          <w:p w:rsidR="00CE700B" w:rsidRPr="007C7A96" w:rsidRDefault="00CE700B" w:rsidP="00B96F20">
            <w:pPr>
              <w:rPr>
                <w:rFonts w:asciiTheme="minorHAnsi" w:hAnsiTheme="minorHAnsi" w:cstheme="minorHAnsi"/>
                <w:sz w:val="24"/>
                <w:szCs w:val="24"/>
              </w:rPr>
            </w:pPr>
            <w:r w:rsidRPr="007C7A96">
              <w:rPr>
                <w:rFonts w:asciiTheme="minorHAnsi" w:hAnsiTheme="minorHAnsi" w:cstheme="minorHAnsi"/>
                <w:sz w:val="24"/>
                <w:szCs w:val="24"/>
              </w:rPr>
              <w:t>Spent</w:t>
            </w:r>
          </w:p>
        </w:tc>
        <w:tc>
          <w:tcPr>
            <w:tcW w:w="3061" w:type="dxa"/>
          </w:tcPr>
          <w:p w:rsidR="00CE700B" w:rsidRPr="007C7A96" w:rsidRDefault="00CE700B" w:rsidP="000F7F1A">
            <w:pPr>
              <w:jc w:val="right"/>
              <w:rPr>
                <w:rFonts w:asciiTheme="minorHAnsi" w:hAnsiTheme="minorHAnsi" w:cstheme="minorHAnsi"/>
                <w:sz w:val="24"/>
                <w:szCs w:val="24"/>
              </w:rPr>
            </w:pPr>
            <w:r w:rsidRPr="007C7A96">
              <w:rPr>
                <w:lang w:eastAsia="en-US"/>
              </w:rPr>
              <w:t>£134,775.66</w:t>
            </w:r>
          </w:p>
        </w:tc>
      </w:tr>
      <w:tr w:rsidR="00CE700B" w:rsidRPr="007C7A96" w:rsidTr="00B96F20">
        <w:tc>
          <w:tcPr>
            <w:tcW w:w="7621" w:type="dxa"/>
          </w:tcPr>
          <w:p w:rsidR="00CE700B" w:rsidRPr="007C7A96" w:rsidRDefault="00CE700B" w:rsidP="00B96F20">
            <w:pPr>
              <w:rPr>
                <w:rFonts w:asciiTheme="minorHAnsi" w:hAnsiTheme="minorHAnsi" w:cstheme="minorHAnsi"/>
                <w:sz w:val="24"/>
                <w:szCs w:val="24"/>
              </w:rPr>
            </w:pPr>
            <w:r w:rsidRPr="007C7A96">
              <w:rPr>
                <w:rFonts w:asciiTheme="minorHAnsi" w:hAnsiTheme="minorHAnsi" w:cstheme="minorHAnsi"/>
                <w:sz w:val="24"/>
                <w:szCs w:val="24"/>
              </w:rPr>
              <w:t>To carry forward to 2017-18</w:t>
            </w:r>
          </w:p>
        </w:tc>
        <w:tc>
          <w:tcPr>
            <w:tcW w:w="3061" w:type="dxa"/>
          </w:tcPr>
          <w:p w:rsidR="00CE700B" w:rsidRPr="007C7A96" w:rsidRDefault="00DA1E04" w:rsidP="000F7F1A">
            <w:pPr>
              <w:jc w:val="right"/>
              <w:rPr>
                <w:lang w:eastAsia="en-US"/>
              </w:rPr>
            </w:pPr>
            <w:r w:rsidRPr="007C7A96">
              <w:rPr>
                <w:lang w:eastAsia="en-US"/>
              </w:rPr>
              <w:t>£30,2</w:t>
            </w:r>
            <w:r w:rsidR="00CE700B" w:rsidRPr="007C7A96">
              <w:rPr>
                <w:lang w:eastAsia="en-US"/>
              </w:rPr>
              <w:t>27.34</w:t>
            </w:r>
          </w:p>
        </w:tc>
      </w:tr>
    </w:tbl>
    <w:p w:rsidR="005B575C" w:rsidRPr="007C7A96" w:rsidRDefault="005B575C" w:rsidP="005B575C">
      <w:pPr>
        <w:pStyle w:val="Bullet1"/>
        <w:numPr>
          <w:ilvl w:val="0"/>
          <w:numId w:val="0"/>
        </w:numPr>
        <w:ind w:left="284"/>
        <w:rPr>
          <w:rFonts w:asciiTheme="minorHAnsi" w:hAnsiTheme="minorHAnsi" w:cstheme="minorHAnsi"/>
          <w:sz w:val="24"/>
          <w:szCs w:val="24"/>
        </w:rPr>
      </w:pPr>
      <w:r w:rsidRPr="007C7A96">
        <w:rPr>
          <w:rFonts w:asciiTheme="minorHAnsi" w:hAnsiTheme="minorHAnsi" w:cstheme="minorHAnsi"/>
          <w:sz w:val="24"/>
          <w:szCs w:val="24"/>
        </w:rPr>
        <w:t>The Pupil Premium finances are directed to raise pupil attainment and progress is carefully tracked to ensure interventions are targeted where there is most need.</w:t>
      </w:r>
    </w:p>
    <w:tbl>
      <w:tblPr>
        <w:tblStyle w:val="TableGrid"/>
        <w:tblW w:w="5000" w:type="pct"/>
        <w:tblInd w:w="0" w:type="dxa"/>
        <w:tblLook w:val="04A0" w:firstRow="1" w:lastRow="0" w:firstColumn="1" w:lastColumn="0" w:noHBand="0" w:noVBand="1"/>
      </w:tblPr>
      <w:tblGrid>
        <w:gridCol w:w="1321"/>
        <w:gridCol w:w="2452"/>
        <w:gridCol w:w="2452"/>
        <w:gridCol w:w="2455"/>
        <w:gridCol w:w="2002"/>
      </w:tblGrid>
      <w:tr w:rsidR="005B575C" w:rsidRPr="00417B00" w:rsidTr="007C7A96">
        <w:trPr>
          <w:trHeight w:val="350"/>
        </w:trPr>
        <w:tc>
          <w:tcPr>
            <w:tcW w:w="618" w:type="pct"/>
          </w:tcPr>
          <w:p w:rsid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2016-17</w:t>
            </w:r>
          </w:p>
          <w:p w:rsidR="00A44363" w:rsidRPr="00A44363" w:rsidRDefault="00A44363" w:rsidP="005050A5">
            <w:pPr>
              <w:pStyle w:val="NoSpacing"/>
              <w:rPr>
                <w:rFonts w:asciiTheme="minorHAnsi" w:hAnsiTheme="minorHAnsi" w:cstheme="minorHAnsi"/>
                <w:b/>
                <w:sz w:val="24"/>
                <w:szCs w:val="24"/>
              </w:rPr>
            </w:pPr>
            <w:r w:rsidRPr="00A44363">
              <w:rPr>
                <w:rFonts w:asciiTheme="minorHAnsi" w:hAnsiTheme="minorHAnsi" w:cstheme="minorHAnsi"/>
                <w:b/>
                <w:sz w:val="24"/>
                <w:szCs w:val="24"/>
              </w:rPr>
              <w:t>Provisional</w:t>
            </w:r>
          </w:p>
        </w:tc>
        <w:tc>
          <w:tcPr>
            <w:tcW w:w="1148" w:type="pct"/>
          </w:tcPr>
          <w:p w:rsidR="005B575C" w:rsidRP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Reading KS2</w:t>
            </w:r>
          </w:p>
        </w:tc>
        <w:tc>
          <w:tcPr>
            <w:tcW w:w="1148" w:type="pct"/>
          </w:tcPr>
          <w:p w:rsidR="005B575C" w:rsidRP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Writing KS2</w:t>
            </w:r>
          </w:p>
        </w:tc>
        <w:tc>
          <w:tcPr>
            <w:tcW w:w="1149" w:type="pct"/>
          </w:tcPr>
          <w:p w:rsidR="005B575C" w:rsidRP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Maths KS2</w:t>
            </w:r>
          </w:p>
        </w:tc>
        <w:tc>
          <w:tcPr>
            <w:tcW w:w="937" w:type="pct"/>
          </w:tcPr>
          <w:p w:rsidR="005B575C" w:rsidRP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RWM KS2</w:t>
            </w:r>
          </w:p>
        </w:tc>
      </w:tr>
      <w:tr w:rsidR="005B575C" w:rsidRPr="00417B00" w:rsidTr="007C7A96">
        <w:trPr>
          <w:trHeight w:val="537"/>
        </w:trPr>
        <w:tc>
          <w:tcPr>
            <w:tcW w:w="618" w:type="pct"/>
          </w:tcPr>
          <w:p w:rsidR="005B575C" w:rsidRP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Pupils</w:t>
            </w:r>
          </w:p>
        </w:tc>
        <w:tc>
          <w:tcPr>
            <w:tcW w:w="1148" w:type="pct"/>
          </w:tcPr>
          <w:p w:rsidR="005B575C" w:rsidRP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Attainment achieving EXS+</w:t>
            </w:r>
          </w:p>
        </w:tc>
        <w:tc>
          <w:tcPr>
            <w:tcW w:w="1148" w:type="pct"/>
          </w:tcPr>
          <w:p w:rsidR="005B575C" w:rsidRP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Attainment achieving EXS+</w:t>
            </w:r>
          </w:p>
        </w:tc>
        <w:tc>
          <w:tcPr>
            <w:tcW w:w="1149" w:type="pct"/>
          </w:tcPr>
          <w:p w:rsidR="005B575C" w:rsidRP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Attainment achieving EXS+</w:t>
            </w:r>
          </w:p>
        </w:tc>
        <w:tc>
          <w:tcPr>
            <w:tcW w:w="937" w:type="pct"/>
          </w:tcPr>
          <w:p w:rsidR="005B575C" w:rsidRP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Attainment achieving EXS+</w:t>
            </w:r>
          </w:p>
        </w:tc>
      </w:tr>
      <w:tr w:rsidR="005B575C" w:rsidRPr="00417B00" w:rsidTr="007C7A96">
        <w:trPr>
          <w:trHeight w:val="537"/>
        </w:trPr>
        <w:tc>
          <w:tcPr>
            <w:tcW w:w="618" w:type="pct"/>
          </w:tcPr>
          <w:p w:rsidR="005B575C" w:rsidRPr="005B575C" w:rsidRDefault="005B575C"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Forest PP</w:t>
            </w:r>
          </w:p>
        </w:tc>
        <w:tc>
          <w:tcPr>
            <w:tcW w:w="1148" w:type="pct"/>
          </w:tcPr>
          <w:p w:rsidR="005B575C" w:rsidRPr="005B575C" w:rsidRDefault="005B575C" w:rsidP="005050A5">
            <w:pPr>
              <w:pStyle w:val="NoSpacing"/>
              <w:jc w:val="center"/>
              <w:rPr>
                <w:rFonts w:asciiTheme="minorHAnsi" w:hAnsiTheme="minorHAnsi" w:cstheme="minorHAnsi"/>
                <w:sz w:val="24"/>
                <w:szCs w:val="24"/>
              </w:rPr>
            </w:pPr>
            <w:r>
              <w:rPr>
                <w:rFonts w:asciiTheme="minorHAnsi" w:hAnsiTheme="minorHAnsi" w:cstheme="minorHAnsi"/>
                <w:sz w:val="24"/>
                <w:szCs w:val="24"/>
              </w:rPr>
              <w:t>83.3%</w:t>
            </w:r>
          </w:p>
        </w:tc>
        <w:tc>
          <w:tcPr>
            <w:tcW w:w="1148" w:type="pct"/>
          </w:tcPr>
          <w:p w:rsidR="005B575C" w:rsidRPr="005B575C" w:rsidRDefault="005B575C" w:rsidP="005050A5">
            <w:pPr>
              <w:pStyle w:val="NoSpacing"/>
              <w:jc w:val="center"/>
              <w:rPr>
                <w:rFonts w:asciiTheme="minorHAnsi" w:hAnsiTheme="minorHAnsi" w:cstheme="minorHAnsi"/>
                <w:sz w:val="24"/>
                <w:szCs w:val="24"/>
              </w:rPr>
            </w:pPr>
            <w:r>
              <w:rPr>
                <w:rFonts w:asciiTheme="minorHAnsi" w:hAnsiTheme="minorHAnsi" w:cstheme="minorHAnsi"/>
                <w:sz w:val="24"/>
                <w:szCs w:val="24"/>
              </w:rPr>
              <w:t>77.7%</w:t>
            </w:r>
          </w:p>
        </w:tc>
        <w:tc>
          <w:tcPr>
            <w:tcW w:w="1149" w:type="pct"/>
          </w:tcPr>
          <w:p w:rsidR="005B575C" w:rsidRPr="005B575C" w:rsidRDefault="005B575C" w:rsidP="005050A5">
            <w:pPr>
              <w:pStyle w:val="NoSpacing"/>
              <w:jc w:val="center"/>
              <w:rPr>
                <w:rFonts w:asciiTheme="minorHAnsi" w:hAnsiTheme="minorHAnsi" w:cstheme="minorHAnsi"/>
                <w:sz w:val="24"/>
                <w:szCs w:val="24"/>
              </w:rPr>
            </w:pPr>
            <w:r>
              <w:rPr>
                <w:rFonts w:asciiTheme="minorHAnsi" w:hAnsiTheme="minorHAnsi" w:cstheme="minorHAnsi"/>
                <w:sz w:val="24"/>
                <w:szCs w:val="24"/>
              </w:rPr>
              <w:t>83.3%</w:t>
            </w:r>
          </w:p>
        </w:tc>
        <w:tc>
          <w:tcPr>
            <w:tcW w:w="937" w:type="pct"/>
          </w:tcPr>
          <w:p w:rsidR="005B575C" w:rsidRPr="005B575C" w:rsidRDefault="005B575C" w:rsidP="005050A5">
            <w:pPr>
              <w:pStyle w:val="NoSpacing"/>
              <w:jc w:val="center"/>
              <w:rPr>
                <w:rFonts w:asciiTheme="minorHAnsi" w:hAnsiTheme="minorHAnsi" w:cstheme="minorHAnsi"/>
                <w:sz w:val="24"/>
                <w:szCs w:val="24"/>
              </w:rPr>
            </w:pPr>
            <w:r>
              <w:rPr>
                <w:rFonts w:asciiTheme="minorHAnsi" w:hAnsiTheme="minorHAnsi" w:cstheme="minorHAnsi"/>
                <w:sz w:val="24"/>
                <w:szCs w:val="24"/>
              </w:rPr>
              <w:t>77.7%</w:t>
            </w:r>
          </w:p>
        </w:tc>
      </w:tr>
      <w:tr w:rsidR="00B96F20" w:rsidRPr="00417B00" w:rsidTr="007C7A96">
        <w:trPr>
          <w:trHeight w:val="539"/>
        </w:trPr>
        <w:tc>
          <w:tcPr>
            <w:tcW w:w="618" w:type="pct"/>
          </w:tcPr>
          <w:p w:rsidR="00B96F20" w:rsidRPr="005B575C" w:rsidRDefault="00B96F20" w:rsidP="005050A5">
            <w:pPr>
              <w:pStyle w:val="NoSpacing"/>
              <w:rPr>
                <w:rFonts w:asciiTheme="minorHAnsi" w:hAnsiTheme="minorHAnsi" w:cstheme="minorHAnsi"/>
                <w:sz w:val="24"/>
                <w:szCs w:val="24"/>
              </w:rPr>
            </w:pPr>
            <w:r w:rsidRPr="005B575C">
              <w:rPr>
                <w:rFonts w:asciiTheme="minorHAnsi" w:hAnsiTheme="minorHAnsi" w:cstheme="minorHAnsi"/>
                <w:sz w:val="24"/>
                <w:szCs w:val="24"/>
              </w:rPr>
              <w:t>Forest non PP</w:t>
            </w:r>
          </w:p>
        </w:tc>
        <w:tc>
          <w:tcPr>
            <w:tcW w:w="1148" w:type="pct"/>
          </w:tcPr>
          <w:p w:rsidR="00B96F20" w:rsidRPr="005B575C" w:rsidRDefault="00B96F20" w:rsidP="005050A5">
            <w:pPr>
              <w:pStyle w:val="NoSpacing"/>
              <w:jc w:val="center"/>
              <w:rPr>
                <w:rFonts w:asciiTheme="minorHAnsi" w:hAnsiTheme="minorHAnsi" w:cstheme="minorHAnsi"/>
                <w:sz w:val="24"/>
                <w:szCs w:val="24"/>
              </w:rPr>
            </w:pPr>
            <w:r>
              <w:rPr>
                <w:rFonts w:asciiTheme="minorHAnsi" w:hAnsiTheme="minorHAnsi" w:cstheme="minorHAnsi"/>
                <w:sz w:val="24"/>
                <w:szCs w:val="24"/>
              </w:rPr>
              <w:t>54.2%</w:t>
            </w:r>
          </w:p>
        </w:tc>
        <w:tc>
          <w:tcPr>
            <w:tcW w:w="1148" w:type="pct"/>
          </w:tcPr>
          <w:p w:rsidR="00B96F20" w:rsidRPr="005B575C" w:rsidRDefault="00B96F20" w:rsidP="005050A5">
            <w:pPr>
              <w:pStyle w:val="NoSpacing"/>
              <w:jc w:val="center"/>
              <w:rPr>
                <w:rFonts w:asciiTheme="minorHAnsi" w:hAnsiTheme="minorHAnsi" w:cstheme="minorHAnsi"/>
                <w:sz w:val="24"/>
                <w:szCs w:val="24"/>
              </w:rPr>
            </w:pPr>
            <w:r>
              <w:rPr>
                <w:rFonts w:asciiTheme="minorHAnsi" w:hAnsiTheme="minorHAnsi" w:cstheme="minorHAnsi"/>
                <w:sz w:val="24"/>
                <w:szCs w:val="24"/>
              </w:rPr>
              <w:t>63%</w:t>
            </w:r>
          </w:p>
        </w:tc>
        <w:tc>
          <w:tcPr>
            <w:tcW w:w="1149" w:type="pct"/>
          </w:tcPr>
          <w:p w:rsidR="00B96F20" w:rsidRPr="005B575C" w:rsidRDefault="00B96F20" w:rsidP="005050A5">
            <w:pPr>
              <w:pStyle w:val="NoSpacing"/>
              <w:jc w:val="center"/>
              <w:rPr>
                <w:rFonts w:asciiTheme="minorHAnsi" w:hAnsiTheme="minorHAnsi" w:cstheme="minorHAnsi"/>
                <w:sz w:val="24"/>
                <w:szCs w:val="24"/>
              </w:rPr>
            </w:pPr>
            <w:r>
              <w:rPr>
                <w:rFonts w:asciiTheme="minorHAnsi" w:hAnsiTheme="minorHAnsi" w:cstheme="minorHAnsi"/>
                <w:sz w:val="24"/>
                <w:szCs w:val="24"/>
              </w:rPr>
              <w:t>75%</w:t>
            </w:r>
          </w:p>
        </w:tc>
        <w:tc>
          <w:tcPr>
            <w:tcW w:w="937" w:type="pct"/>
          </w:tcPr>
          <w:p w:rsidR="00B96F20" w:rsidRPr="005B575C" w:rsidRDefault="00B96F20" w:rsidP="005050A5">
            <w:pPr>
              <w:pStyle w:val="NoSpacing"/>
              <w:jc w:val="center"/>
              <w:rPr>
                <w:rFonts w:asciiTheme="minorHAnsi" w:hAnsiTheme="minorHAnsi" w:cstheme="minorHAnsi"/>
                <w:sz w:val="24"/>
                <w:szCs w:val="24"/>
              </w:rPr>
            </w:pPr>
            <w:r>
              <w:rPr>
                <w:rFonts w:asciiTheme="minorHAnsi" w:hAnsiTheme="minorHAnsi" w:cstheme="minorHAnsi"/>
                <w:sz w:val="24"/>
                <w:szCs w:val="24"/>
              </w:rPr>
              <w:t>50%</w:t>
            </w:r>
          </w:p>
        </w:tc>
      </w:tr>
    </w:tbl>
    <w:p w:rsidR="005B575C" w:rsidRPr="00417B00" w:rsidRDefault="005B575C" w:rsidP="005B575C">
      <w:pPr>
        <w:pStyle w:val="Bullet1"/>
        <w:numPr>
          <w:ilvl w:val="0"/>
          <w:numId w:val="0"/>
        </w:numPr>
        <w:ind w:left="284"/>
        <w:rPr>
          <w:rFonts w:asciiTheme="minorHAnsi" w:hAnsiTheme="minorHAnsi" w:cstheme="minorHAnsi"/>
          <w:sz w:val="24"/>
          <w:szCs w:val="24"/>
          <w:highlight w:val="yellow"/>
        </w:rPr>
      </w:pPr>
    </w:p>
    <w:tbl>
      <w:tblPr>
        <w:tblStyle w:val="TableGrid"/>
        <w:tblW w:w="5000" w:type="pct"/>
        <w:tblInd w:w="0" w:type="dxa"/>
        <w:tblLook w:val="04A0" w:firstRow="1" w:lastRow="0" w:firstColumn="1" w:lastColumn="0" w:noHBand="0" w:noVBand="1"/>
      </w:tblPr>
      <w:tblGrid>
        <w:gridCol w:w="1274"/>
        <w:gridCol w:w="3136"/>
        <w:gridCol w:w="3136"/>
        <w:gridCol w:w="3136"/>
      </w:tblGrid>
      <w:tr w:rsidR="005B575C" w:rsidRPr="00417B00" w:rsidTr="005050A5">
        <w:trPr>
          <w:trHeight w:val="537"/>
        </w:trPr>
        <w:tc>
          <w:tcPr>
            <w:tcW w:w="596" w:type="pct"/>
          </w:tcPr>
          <w:p w:rsidR="005B575C" w:rsidRPr="007C7A96" w:rsidRDefault="005B575C" w:rsidP="005050A5">
            <w:pPr>
              <w:pStyle w:val="NoSpacing"/>
              <w:rPr>
                <w:rFonts w:asciiTheme="minorHAnsi" w:hAnsiTheme="minorHAnsi" w:cstheme="minorHAnsi"/>
                <w:sz w:val="24"/>
                <w:szCs w:val="24"/>
              </w:rPr>
            </w:pPr>
            <w:r w:rsidRPr="007C7A96">
              <w:rPr>
                <w:rFonts w:asciiTheme="minorHAnsi" w:hAnsiTheme="minorHAnsi" w:cstheme="minorHAnsi"/>
                <w:sz w:val="24"/>
                <w:szCs w:val="24"/>
              </w:rPr>
              <w:t>2016-17</w:t>
            </w:r>
          </w:p>
        </w:tc>
        <w:tc>
          <w:tcPr>
            <w:tcW w:w="1468" w:type="pct"/>
          </w:tcPr>
          <w:p w:rsidR="005B575C" w:rsidRPr="007C7A96" w:rsidRDefault="005B575C" w:rsidP="005050A5">
            <w:pPr>
              <w:pStyle w:val="NoSpacing"/>
              <w:jc w:val="center"/>
              <w:rPr>
                <w:rFonts w:asciiTheme="minorHAnsi" w:hAnsiTheme="minorHAnsi" w:cstheme="minorHAnsi"/>
                <w:sz w:val="24"/>
                <w:szCs w:val="24"/>
              </w:rPr>
            </w:pPr>
            <w:r w:rsidRPr="007C7A96">
              <w:rPr>
                <w:rFonts w:asciiTheme="minorHAnsi" w:hAnsiTheme="minorHAnsi" w:cstheme="minorHAnsi"/>
                <w:sz w:val="24"/>
                <w:szCs w:val="24"/>
              </w:rPr>
              <w:t>Reading KS1-KS2</w:t>
            </w:r>
          </w:p>
        </w:tc>
        <w:tc>
          <w:tcPr>
            <w:tcW w:w="1468" w:type="pct"/>
          </w:tcPr>
          <w:p w:rsidR="005B575C" w:rsidRPr="007C7A96" w:rsidRDefault="005B575C" w:rsidP="005050A5">
            <w:pPr>
              <w:pStyle w:val="NoSpacing"/>
              <w:jc w:val="center"/>
              <w:rPr>
                <w:rFonts w:asciiTheme="minorHAnsi" w:hAnsiTheme="minorHAnsi" w:cstheme="minorHAnsi"/>
                <w:sz w:val="24"/>
                <w:szCs w:val="24"/>
              </w:rPr>
            </w:pPr>
            <w:r w:rsidRPr="007C7A96">
              <w:rPr>
                <w:rFonts w:asciiTheme="minorHAnsi" w:hAnsiTheme="minorHAnsi" w:cstheme="minorHAnsi"/>
                <w:sz w:val="24"/>
                <w:szCs w:val="24"/>
              </w:rPr>
              <w:t>Writing KS1-KS2</w:t>
            </w:r>
          </w:p>
        </w:tc>
        <w:tc>
          <w:tcPr>
            <w:tcW w:w="1468" w:type="pct"/>
          </w:tcPr>
          <w:p w:rsidR="005B575C" w:rsidRPr="007C7A96" w:rsidRDefault="005B575C" w:rsidP="005050A5">
            <w:pPr>
              <w:pStyle w:val="NoSpacing"/>
              <w:jc w:val="center"/>
              <w:rPr>
                <w:rFonts w:asciiTheme="minorHAnsi" w:hAnsiTheme="minorHAnsi" w:cstheme="minorHAnsi"/>
                <w:sz w:val="24"/>
                <w:szCs w:val="24"/>
              </w:rPr>
            </w:pPr>
            <w:r w:rsidRPr="007C7A96">
              <w:rPr>
                <w:rFonts w:asciiTheme="minorHAnsi" w:hAnsiTheme="minorHAnsi" w:cstheme="minorHAnsi"/>
                <w:sz w:val="24"/>
                <w:szCs w:val="24"/>
              </w:rPr>
              <w:t>Maths KS1-KS2</w:t>
            </w:r>
          </w:p>
        </w:tc>
      </w:tr>
      <w:tr w:rsidR="005B575C" w:rsidRPr="00417B00" w:rsidTr="005050A5">
        <w:trPr>
          <w:trHeight w:val="537"/>
        </w:trPr>
        <w:tc>
          <w:tcPr>
            <w:tcW w:w="596" w:type="pct"/>
          </w:tcPr>
          <w:p w:rsidR="005B575C" w:rsidRPr="007C7A96" w:rsidRDefault="005B575C" w:rsidP="005050A5">
            <w:pPr>
              <w:pStyle w:val="NoSpacing"/>
              <w:rPr>
                <w:rFonts w:asciiTheme="minorHAnsi" w:hAnsiTheme="minorHAnsi" w:cstheme="minorHAnsi"/>
                <w:sz w:val="24"/>
                <w:szCs w:val="24"/>
              </w:rPr>
            </w:pPr>
          </w:p>
        </w:tc>
        <w:tc>
          <w:tcPr>
            <w:tcW w:w="1468" w:type="pct"/>
          </w:tcPr>
          <w:p w:rsidR="005B575C" w:rsidRPr="007C7A96" w:rsidRDefault="005B575C" w:rsidP="005050A5">
            <w:pPr>
              <w:pStyle w:val="NoSpacing"/>
              <w:jc w:val="center"/>
              <w:rPr>
                <w:rFonts w:asciiTheme="minorHAnsi" w:hAnsiTheme="minorHAnsi" w:cstheme="minorHAnsi"/>
                <w:sz w:val="24"/>
                <w:szCs w:val="24"/>
              </w:rPr>
            </w:pPr>
            <w:r w:rsidRPr="007C7A96">
              <w:rPr>
                <w:rFonts w:asciiTheme="minorHAnsi" w:hAnsiTheme="minorHAnsi" w:cstheme="minorHAnsi"/>
                <w:sz w:val="24"/>
                <w:szCs w:val="24"/>
              </w:rPr>
              <w:t>Progress</w:t>
            </w:r>
          </w:p>
        </w:tc>
        <w:tc>
          <w:tcPr>
            <w:tcW w:w="1468" w:type="pct"/>
          </w:tcPr>
          <w:p w:rsidR="005B575C" w:rsidRPr="007C7A96" w:rsidRDefault="005B575C" w:rsidP="005050A5">
            <w:pPr>
              <w:pStyle w:val="NoSpacing"/>
              <w:jc w:val="center"/>
              <w:rPr>
                <w:rFonts w:asciiTheme="minorHAnsi" w:hAnsiTheme="minorHAnsi" w:cstheme="minorHAnsi"/>
                <w:sz w:val="24"/>
                <w:szCs w:val="24"/>
              </w:rPr>
            </w:pPr>
            <w:r w:rsidRPr="007C7A96">
              <w:rPr>
                <w:rFonts w:asciiTheme="minorHAnsi" w:hAnsiTheme="minorHAnsi" w:cstheme="minorHAnsi"/>
                <w:sz w:val="24"/>
                <w:szCs w:val="24"/>
              </w:rPr>
              <w:t>Progress</w:t>
            </w:r>
          </w:p>
        </w:tc>
        <w:tc>
          <w:tcPr>
            <w:tcW w:w="1468" w:type="pct"/>
          </w:tcPr>
          <w:p w:rsidR="005B575C" w:rsidRPr="007C7A96" w:rsidRDefault="005B575C" w:rsidP="005050A5">
            <w:pPr>
              <w:pStyle w:val="NoSpacing"/>
              <w:jc w:val="center"/>
              <w:rPr>
                <w:rFonts w:asciiTheme="minorHAnsi" w:hAnsiTheme="minorHAnsi" w:cstheme="minorHAnsi"/>
                <w:sz w:val="24"/>
                <w:szCs w:val="24"/>
              </w:rPr>
            </w:pPr>
            <w:r w:rsidRPr="007C7A96">
              <w:rPr>
                <w:rFonts w:asciiTheme="minorHAnsi" w:hAnsiTheme="minorHAnsi" w:cstheme="minorHAnsi"/>
                <w:sz w:val="24"/>
                <w:szCs w:val="24"/>
              </w:rPr>
              <w:t>Progress</w:t>
            </w:r>
          </w:p>
        </w:tc>
      </w:tr>
      <w:tr w:rsidR="005B575C" w:rsidRPr="00417B00" w:rsidTr="005050A5">
        <w:trPr>
          <w:trHeight w:val="537"/>
        </w:trPr>
        <w:tc>
          <w:tcPr>
            <w:tcW w:w="596" w:type="pct"/>
          </w:tcPr>
          <w:p w:rsidR="005B575C" w:rsidRPr="007C7A96" w:rsidRDefault="005B575C" w:rsidP="005050A5">
            <w:pPr>
              <w:pStyle w:val="NoSpacing"/>
              <w:rPr>
                <w:rFonts w:asciiTheme="minorHAnsi" w:hAnsiTheme="minorHAnsi" w:cstheme="minorHAnsi"/>
                <w:sz w:val="24"/>
                <w:szCs w:val="24"/>
              </w:rPr>
            </w:pPr>
            <w:r w:rsidRPr="007C7A96">
              <w:rPr>
                <w:rFonts w:asciiTheme="minorHAnsi" w:hAnsiTheme="minorHAnsi" w:cstheme="minorHAnsi"/>
                <w:sz w:val="24"/>
                <w:szCs w:val="24"/>
              </w:rPr>
              <w:t>Forest PP</w:t>
            </w:r>
          </w:p>
        </w:tc>
        <w:tc>
          <w:tcPr>
            <w:tcW w:w="1468" w:type="pct"/>
          </w:tcPr>
          <w:p w:rsidR="005B575C" w:rsidRPr="007C7A96" w:rsidRDefault="00A44363" w:rsidP="005050A5">
            <w:pPr>
              <w:pStyle w:val="NoSpacing"/>
              <w:jc w:val="center"/>
              <w:rPr>
                <w:rFonts w:asciiTheme="minorHAnsi" w:hAnsiTheme="minorHAnsi" w:cstheme="minorHAnsi"/>
                <w:sz w:val="24"/>
                <w:szCs w:val="24"/>
              </w:rPr>
            </w:pPr>
            <w:r w:rsidRPr="007C7A96">
              <w:rPr>
                <w:rFonts w:asciiTheme="minorHAnsi" w:hAnsiTheme="minorHAnsi" w:cstheme="minorHAnsi"/>
                <w:sz w:val="24"/>
                <w:szCs w:val="24"/>
              </w:rPr>
              <w:t>-4.2</w:t>
            </w:r>
          </w:p>
        </w:tc>
        <w:tc>
          <w:tcPr>
            <w:tcW w:w="1468" w:type="pct"/>
          </w:tcPr>
          <w:p w:rsidR="005B575C" w:rsidRPr="007C7A96" w:rsidRDefault="00A44363" w:rsidP="005050A5">
            <w:pPr>
              <w:pStyle w:val="NoSpacing"/>
              <w:jc w:val="center"/>
              <w:rPr>
                <w:rFonts w:asciiTheme="minorHAnsi" w:hAnsiTheme="minorHAnsi" w:cstheme="minorHAnsi"/>
                <w:sz w:val="24"/>
                <w:szCs w:val="24"/>
              </w:rPr>
            </w:pPr>
            <w:r w:rsidRPr="007C7A96">
              <w:rPr>
                <w:rFonts w:asciiTheme="minorHAnsi" w:hAnsiTheme="minorHAnsi" w:cstheme="minorHAnsi"/>
                <w:sz w:val="24"/>
                <w:szCs w:val="24"/>
              </w:rPr>
              <w:t>-4.6</w:t>
            </w:r>
          </w:p>
        </w:tc>
        <w:tc>
          <w:tcPr>
            <w:tcW w:w="1468" w:type="pct"/>
          </w:tcPr>
          <w:p w:rsidR="005B575C" w:rsidRPr="007C7A96" w:rsidRDefault="00A44363" w:rsidP="005050A5">
            <w:pPr>
              <w:pStyle w:val="NoSpacing"/>
              <w:jc w:val="center"/>
              <w:rPr>
                <w:rFonts w:asciiTheme="minorHAnsi" w:hAnsiTheme="minorHAnsi" w:cstheme="minorHAnsi"/>
                <w:sz w:val="24"/>
                <w:szCs w:val="24"/>
              </w:rPr>
            </w:pPr>
            <w:r w:rsidRPr="007C7A96">
              <w:rPr>
                <w:rFonts w:asciiTheme="minorHAnsi" w:hAnsiTheme="minorHAnsi" w:cstheme="minorHAnsi"/>
                <w:sz w:val="24"/>
                <w:szCs w:val="24"/>
              </w:rPr>
              <w:t>-3.9</w:t>
            </w:r>
          </w:p>
        </w:tc>
      </w:tr>
    </w:tbl>
    <w:p w:rsidR="005B575C" w:rsidRPr="005B575C" w:rsidRDefault="005B575C" w:rsidP="005B575C"/>
    <w:p w:rsidR="00286300" w:rsidRDefault="00286300" w:rsidP="00286300">
      <w:pPr>
        <w:pStyle w:val="Bullet1"/>
        <w:numPr>
          <w:ilvl w:val="0"/>
          <w:numId w:val="0"/>
        </w:numPr>
        <w:tabs>
          <w:tab w:val="right" w:pos="6804"/>
        </w:tabs>
        <w:ind w:left="284"/>
        <w:rPr>
          <w:rFonts w:asciiTheme="minorHAnsi" w:hAnsiTheme="minorHAnsi"/>
          <w:sz w:val="24"/>
          <w:szCs w:val="24"/>
        </w:rPr>
      </w:pPr>
    </w:p>
    <w:p w:rsidR="00B979C5" w:rsidRDefault="00B979C5" w:rsidP="00F51FCB">
      <w:pPr>
        <w:pStyle w:val="Bullet1"/>
        <w:numPr>
          <w:ilvl w:val="0"/>
          <w:numId w:val="0"/>
        </w:numPr>
        <w:tabs>
          <w:tab w:val="right" w:pos="6804"/>
        </w:tabs>
        <w:ind w:left="568" w:hanging="284"/>
        <w:rPr>
          <w:rFonts w:asciiTheme="minorHAnsi" w:hAnsiTheme="minorHAnsi"/>
          <w:sz w:val="24"/>
          <w:szCs w:val="24"/>
        </w:rPr>
      </w:pPr>
    </w:p>
    <w:p w:rsidR="00F51FCB" w:rsidRDefault="00F51FCB" w:rsidP="00F51FCB">
      <w:pPr>
        <w:pStyle w:val="Bullet1"/>
        <w:numPr>
          <w:ilvl w:val="0"/>
          <w:numId w:val="0"/>
        </w:numPr>
        <w:tabs>
          <w:tab w:val="right" w:pos="6804"/>
        </w:tabs>
        <w:ind w:left="568" w:hanging="284"/>
        <w:rPr>
          <w:rFonts w:asciiTheme="minorHAnsi" w:hAnsiTheme="minorHAnsi"/>
          <w:sz w:val="24"/>
          <w:szCs w:val="24"/>
        </w:rPr>
      </w:pPr>
    </w:p>
    <w:p w:rsidR="00F51FCB" w:rsidRDefault="00F51FCB" w:rsidP="00F51FCB">
      <w:pPr>
        <w:pStyle w:val="Bullet1"/>
        <w:numPr>
          <w:ilvl w:val="0"/>
          <w:numId w:val="0"/>
        </w:numPr>
        <w:tabs>
          <w:tab w:val="right" w:pos="6804"/>
        </w:tabs>
        <w:ind w:left="568" w:hanging="284"/>
        <w:rPr>
          <w:rFonts w:asciiTheme="minorHAnsi" w:hAnsiTheme="minorHAnsi"/>
          <w:sz w:val="24"/>
          <w:szCs w:val="24"/>
        </w:rPr>
      </w:pPr>
    </w:p>
    <w:p w:rsidR="008E0D61" w:rsidRDefault="008E0D61" w:rsidP="00F51FCB">
      <w:pPr>
        <w:pStyle w:val="Bullet1"/>
        <w:numPr>
          <w:ilvl w:val="0"/>
          <w:numId w:val="0"/>
        </w:numPr>
        <w:tabs>
          <w:tab w:val="right" w:pos="6804"/>
        </w:tabs>
        <w:ind w:left="568" w:hanging="284"/>
        <w:rPr>
          <w:rFonts w:asciiTheme="minorHAnsi" w:hAnsiTheme="minorHAnsi"/>
          <w:sz w:val="24"/>
          <w:szCs w:val="24"/>
        </w:rPr>
      </w:pPr>
    </w:p>
    <w:p w:rsidR="00F51FCB" w:rsidRPr="00094AEA" w:rsidRDefault="00F51FCB" w:rsidP="00F51FCB">
      <w:pPr>
        <w:pStyle w:val="Bullet1"/>
        <w:numPr>
          <w:ilvl w:val="0"/>
          <w:numId w:val="0"/>
        </w:numPr>
        <w:tabs>
          <w:tab w:val="right" w:pos="6804"/>
        </w:tabs>
        <w:ind w:left="568" w:hanging="284"/>
        <w:rPr>
          <w:rFonts w:asciiTheme="minorHAnsi" w:hAnsiTheme="minorHAnsi"/>
          <w:sz w:val="24"/>
          <w:szCs w:val="24"/>
        </w:rPr>
      </w:pPr>
    </w:p>
    <w:p w:rsidR="00094AEA" w:rsidRPr="00950C1D" w:rsidRDefault="00094AEA" w:rsidP="00094AEA">
      <w:pPr>
        <w:pStyle w:val="Bullet1"/>
        <w:numPr>
          <w:ilvl w:val="0"/>
          <w:numId w:val="0"/>
        </w:numPr>
        <w:tabs>
          <w:tab w:val="right" w:pos="6804"/>
        </w:tabs>
        <w:ind w:left="284"/>
        <w:rPr>
          <w:rFonts w:asciiTheme="minorHAnsi" w:hAnsiTheme="minorHAnsi"/>
          <w:sz w:val="24"/>
          <w:szCs w:val="24"/>
          <w:highlight w:val="yellow"/>
        </w:rPr>
      </w:pPr>
    </w:p>
    <w:tbl>
      <w:tblPr>
        <w:tblStyle w:val="TableGrid"/>
        <w:tblW w:w="5000" w:type="pct"/>
        <w:tblInd w:w="0" w:type="dxa"/>
        <w:tblLook w:val="04A0" w:firstRow="1" w:lastRow="0" w:firstColumn="1" w:lastColumn="0" w:noHBand="0" w:noVBand="1"/>
      </w:tblPr>
      <w:tblGrid>
        <w:gridCol w:w="449"/>
        <w:gridCol w:w="2042"/>
        <w:gridCol w:w="1798"/>
        <w:gridCol w:w="2144"/>
        <w:gridCol w:w="4249"/>
      </w:tblGrid>
      <w:tr w:rsidR="00714B13" w:rsidRPr="00FF36F0" w:rsidTr="00075D7C">
        <w:trPr>
          <w:trHeight w:val="474"/>
        </w:trPr>
        <w:tc>
          <w:tcPr>
            <w:tcW w:w="250" w:type="pct"/>
            <w:tcBorders>
              <w:top w:val="single" w:sz="4" w:space="0" w:color="auto"/>
              <w:left w:val="single" w:sz="4" w:space="0" w:color="auto"/>
              <w:bottom w:val="single" w:sz="4" w:space="0" w:color="auto"/>
              <w:right w:val="single" w:sz="4" w:space="0" w:color="auto"/>
            </w:tcBorders>
          </w:tcPr>
          <w:p w:rsidR="00714B13" w:rsidRPr="00FF36F0" w:rsidRDefault="00714B13" w:rsidP="00FF36F0">
            <w:pPr>
              <w:pStyle w:val="NoSpacing"/>
              <w:rPr>
                <w:lang w:eastAsia="en-US"/>
              </w:rPr>
            </w:pPr>
          </w:p>
        </w:tc>
        <w:tc>
          <w:tcPr>
            <w:tcW w:w="995" w:type="pct"/>
            <w:tcBorders>
              <w:top w:val="single" w:sz="4" w:space="0" w:color="auto"/>
              <w:left w:val="single" w:sz="4" w:space="0" w:color="auto"/>
              <w:bottom w:val="single" w:sz="4" w:space="0" w:color="auto"/>
              <w:right w:val="single" w:sz="4" w:space="0" w:color="auto"/>
            </w:tcBorders>
            <w:hideMark/>
          </w:tcPr>
          <w:p w:rsidR="00714B13" w:rsidRPr="00FF36F0" w:rsidRDefault="00714B13" w:rsidP="00FF36F0">
            <w:pPr>
              <w:pStyle w:val="NoSpacing"/>
              <w:rPr>
                <w:lang w:eastAsia="en-US"/>
              </w:rPr>
            </w:pPr>
            <w:r w:rsidRPr="00FF36F0">
              <w:rPr>
                <w:lang w:eastAsia="en-US"/>
              </w:rPr>
              <w:t>Item/project</w:t>
            </w:r>
          </w:p>
        </w:tc>
        <w:tc>
          <w:tcPr>
            <w:tcW w:w="881" w:type="pct"/>
            <w:tcBorders>
              <w:top w:val="single" w:sz="4" w:space="0" w:color="auto"/>
              <w:left w:val="single" w:sz="4" w:space="0" w:color="auto"/>
              <w:bottom w:val="single" w:sz="4" w:space="0" w:color="auto"/>
              <w:right w:val="single" w:sz="4" w:space="0" w:color="auto"/>
            </w:tcBorders>
            <w:hideMark/>
          </w:tcPr>
          <w:p w:rsidR="00714B13" w:rsidRPr="00FF36F0" w:rsidRDefault="00714B13" w:rsidP="00C24502">
            <w:pPr>
              <w:pStyle w:val="NoSpacing"/>
              <w:rPr>
                <w:lang w:eastAsia="en-US"/>
              </w:rPr>
            </w:pPr>
            <w:r>
              <w:rPr>
                <w:lang w:eastAsia="en-US"/>
              </w:rPr>
              <w:t>Spending as of end of August</w:t>
            </w:r>
          </w:p>
        </w:tc>
        <w:tc>
          <w:tcPr>
            <w:tcW w:w="1043" w:type="pct"/>
            <w:tcBorders>
              <w:top w:val="single" w:sz="4" w:space="0" w:color="auto"/>
              <w:left w:val="single" w:sz="4" w:space="0" w:color="auto"/>
              <w:bottom w:val="single" w:sz="4" w:space="0" w:color="auto"/>
              <w:right w:val="single" w:sz="4" w:space="0" w:color="auto"/>
            </w:tcBorders>
            <w:hideMark/>
          </w:tcPr>
          <w:p w:rsidR="00714B13" w:rsidRPr="00FF36F0" w:rsidRDefault="00714B13" w:rsidP="00FF36F0">
            <w:pPr>
              <w:pStyle w:val="NoSpacing"/>
              <w:rPr>
                <w:lang w:eastAsia="en-US"/>
              </w:rPr>
            </w:pPr>
            <w:r w:rsidRPr="00FF36F0">
              <w:rPr>
                <w:lang w:eastAsia="en-US"/>
              </w:rPr>
              <w:t>Purpose</w:t>
            </w:r>
          </w:p>
        </w:tc>
        <w:tc>
          <w:tcPr>
            <w:tcW w:w="1831" w:type="pct"/>
            <w:tcBorders>
              <w:top w:val="single" w:sz="4" w:space="0" w:color="auto"/>
              <w:left w:val="single" w:sz="4" w:space="0" w:color="auto"/>
              <w:bottom w:val="single" w:sz="4" w:space="0" w:color="auto"/>
              <w:right w:val="single" w:sz="4" w:space="0" w:color="auto"/>
            </w:tcBorders>
            <w:hideMark/>
          </w:tcPr>
          <w:p w:rsidR="00714B13" w:rsidRPr="00FF36F0" w:rsidRDefault="00714B13" w:rsidP="00FF36F0">
            <w:pPr>
              <w:pStyle w:val="NoSpacing"/>
              <w:rPr>
                <w:lang w:eastAsia="en-US"/>
              </w:rPr>
            </w:pPr>
            <w:r w:rsidRPr="00FF36F0">
              <w:rPr>
                <w:lang w:eastAsia="en-US"/>
              </w:rPr>
              <w:t>Outcome/Impact</w:t>
            </w:r>
          </w:p>
        </w:tc>
      </w:tr>
      <w:tr w:rsidR="00A56EC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FF36F0">
            <w:pPr>
              <w:pStyle w:val="NoSpacing"/>
              <w:rPr>
                <w:lang w:eastAsia="en-US"/>
              </w:rPr>
            </w:pPr>
            <w:r>
              <w:rPr>
                <w:lang w:eastAsia="en-US"/>
              </w:rPr>
              <w:t>1</w:t>
            </w:r>
          </w:p>
        </w:tc>
        <w:tc>
          <w:tcPr>
            <w:tcW w:w="995"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FF36F0">
            <w:pPr>
              <w:pStyle w:val="NoSpacing"/>
              <w:rPr>
                <w:lang w:eastAsia="en-US"/>
              </w:rPr>
            </w:pPr>
            <w:r w:rsidRPr="00FF36F0">
              <w:rPr>
                <w:lang w:eastAsia="en-US"/>
              </w:rPr>
              <w:t xml:space="preserve">Additional experienced teacher in UKS2 each morning. </w:t>
            </w:r>
          </w:p>
          <w:p w:rsidR="00A56EC3" w:rsidRPr="00FF36F0" w:rsidRDefault="00A56EC3" w:rsidP="00FF36F0">
            <w:pPr>
              <w:pStyle w:val="NoSpacing"/>
              <w:rPr>
                <w:lang w:eastAsia="en-US"/>
              </w:rPr>
            </w:pPr>
          </w:p>
        </w:tc>
        <w:tc>
          <w:tcPr>
            <w:tcW w:w="881" w:type="pct"/>
            <w:vMerge w:val="restart"/>
            <w:tcBorders>
              <w:top w:val="single" w:sz="4" w:space="0" w:color="auto"/>
              <w:left w:val="single" w:sz="4" w:space="0" w:color="auto"/>
              <w:right w:val="single" w:sz="4" w:space="0" w:color="auto"/>
            </w:tcBorders>
            <w:shd w:val="clear" w:color="auto" w:fill="EEECE1" w:themeFill="background2"/>
            <w:vAlign w:val="bottom"/>
          </w:tcPr>
          <w:p w:rsidR="00A56EC3" w:rsidRPr="00FF36F0" w:rsidRDefault="00A56EC3" w:rsidP="00075D7C">
            <w:pPr>
              <w:pStyle w:val="NoSpacing"/>
              <w:jc w:val="right"/>
              <w:rPr>
                <w:lang w:eastAsia="en-US"/>
              </w:rPr>
            </w:pPr>
            <w:r>
              <w:rPr>
                <w:lang w:eastAsia="en-US"/>
              </w:rPr>
              <w:t>£8</w:t>
            </w:r>
            <w:r w:rsidR="00075D7C">
              <w:rPr>
                <w:lang w:eastAsia="en-US"/>
              </w:rPr>
              <w:t>6</w:t>
            </w:r>
            <w:r>
              <w:rPr>
                <w:lang w:eastAsia="en-US"/>
              </w:rPr>
              <w:t xml:space="preserve">, </w:t>
            </w:r>
            <w:r w:rsidR="00075D7C">
              <w:rPr>
                <w:lang w:eastAsia="en-US"/>
              </w:rPr>
              <w:t>186.71</w:t>
            </w:r>
          </w:p>
        </w:tc>
        <w:tc>
          <w:tcPr>
            <w:tcW w:w="1043"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FF36F0">
            <w:pPr>
              <w:pStyle w:val="NoSpacing"/>
              <w:rPr>
                <w:lang w:eastAsia="en-US"/>
              </w:rPr>
            </w:pPr>
            <w:r w:rsidRPr="00FF36F0">
              <w:rPr>
                <w:lang w:eastAsia="en-US"/>
              </w:rPr>
              <w:t>To enable children to be taught in smaller groups to provide more targeted support and increase progress by addressing areas of weakness and learning gaps.</w:t>
            </w:r>
          </w:p>
        </w:tc>
        <w:tc>
          <w:tcPr>
            <w:tcW w:w="1831"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E76398">
            <w:pPr>
              <w:pStyle w:val="NoSpacing"/>
              <w:rPr>
                <w:lang w:eastAsia="en-US"/>
              </w:rPr>
            </w:pPr>
            <w:r>
              <w:rPr>
                <w:lang w:eastAsia="en-US"/>
              </w:rPr>
              <w:t xml:space="preserve">Pupil Premium children achieved significantly </w:t>
            </w:r>
            <w:r w:rsidRPr="00E76398">
              <w:rPr>
                <w:b/>
                <w:lang w:eastAsia="en-US"/>
              </w:rPr>
              <w:t>better than school Non PP</w:t>
            </w:r>
            <w:r>
              <w:rPr>
                <w:lang w:eastAsia="en-US"/>
              </w:rPr>
              <w:t xml:space="preserve"> in reading, writing and maths and above national.  They achieved better than PP children last year.</w:t>
            </w:r>
          </w:p>
        </w:tc>
      </w:tr>
      <w:tr w:rsidR="00A56EC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FF36F0">
            <w:pPr>
              <w:pStyle w:val="NoSpacing"/>
              <w:rPr>
                <w:lang w:eastAsia="en-US"/>
              </w:rPr>
            </w:pPr>
            <w:r>
              <w:rPr>
                <w:lang w:eastAsia="en-US"/>
              </w:rPr>
              <w:t>2</w:t>
            </w:r>
          </w:p>
        </w:tc>
        <w:tc>
          <w:tcPr>
            <w:tcW w:w="995"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FF36F0">
            <w:pPr>
              <w:pStyle w:val="NoSpacing"/>
              <w:rPr>
                <w:lang w:eastAsia="en-US"/>
              </w:rPr>
            </w:pPr>
            <w:r w:rsidRPr="00FF36F0">
              <w:rPr>
                <w:lang w:eastAsia="en-US"/>
              </w:rPr>
              <w:t>Additional experienced HLTA in UKS2 each morning.</w:t>
            </w:r>
          </w:p>
          <w:p w:rsidR="00A56EC3" w:rsidRPr="00FF36F0" w:rsidRDefault="00A56EC3" w:rsidP="00FF36F0">
            <w:pPr>
              <w:pStyle w:val="NoSpacing"/>
              <w:rPr>
                <w:lang w:eastAsia="en-US"/>
              </w:rPr>
            </w:pPr>
          </w:p>
        </w:tc>
        <w:tc>
          <w:tcPr>
            <w:tcW w:w="881" w:type="pct"/>
            <w:vMerge/>
            <w:tcBorders>
              <w:left w:val="single" w:sz="4" w:space="0" w:color="auto"/>
              <w:right w:val="single" w:sz="4" w:space="0" w:color="auto"/>
            </w:tcBorders>
            <w:shd w:val="clear" w:color="auto" w:fill="EEECE1" w:themeFill="background2"/>
          </w:tcPr>
          <w:p w:rsidR="00A56EC3" w:rsidRPr="00FF36F0" w:rsidRDefault="00A56EC3" w:rsidP="00E37135">
            <w:pPr>
              <w:pStyle w:val="NoSpacing"/>
              <w:jc w:val="right"/>
              <w:rPr>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FF36F0">
            <w:pPr>
              <w:pStyle w:val="NoSpacing"/>
              <w:rPr>
                <w:lang w:eastAsia="en-US"/>
              </w:rPr>
            </w:pPr>
            <w:r w:rsidRPr="00FF36F0">
              <w:rPr>
                <w:lang w:eastAsia="en-US"/>
              </w:rPr>
              <w:t>To enable children to be taught in smaller groups to provide more targeted support and increase progress by addressing areas of weakness and learning gaps.</w:t>
            </w:r>
          </w:p>
        </w:tc>
        <w:tc>
          <w:tcPr>
            <w:tcW w:w="1831"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Default="00A56EC3" w:rsidP="00FF36F0">
            <w:pPr>
              <w:pStyle w:val="NoSpacing"/>
              <w:rPr>
                <w:lang w:eastAsia="en-US"/>
              </w:rPr>
            </w:pPr>
            <w:r>
              <w:rPr>
                <w:lang w:eastAsia="en-US"/>
              </w:rPr>
              <w:t xml:space="preserve">Pupil Premium children achieved significantly </w:t>
            </w:r>
            <w:r w:rsidRPr="00E76398">
              <w:rPr>
                <w:b/>
                <w:lang w:eastAsia="en-US"/>
              </w:rPr>
              <w:t>better than school Non PP</w:t>
            </w:r>
            <w:r>
              <w:rPr>
                <w:lang w:eastAsia="en-US"/>
              </w:rPr>
              <w:t xml:space="preserve"> in reading, writing and maths and above national.  They achieved better than PP children last year.</w:t>
            </w:r>
          </w:p>
          <w:p w:rsidR="00A56EC3" w:rsidRPr="00FF36F0" w:rsidRDefault="00A56EC3" w:rsidP="00FF36F0">
            <w:pPr>
              <w:pStyle w:val="NoSpacing"/>
              <w:rPr>
                <w:lang w:eastAsia="en-US"/>
              </w:rPr>
            </w:pPr>
            <w:r>
              <w:rPr>
                <w:lang w:eastAsia="en-US"/>
              </w:rPr>
              <w:t>Children with additional needs were well supported.</w:t>
            </w:r>
          </w:p>
        </w:tc>
      </w:tr>
      <w:tr w:rsidR="00A56EC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094AEA" w:rsidRDefault="00A56EC3" w:rsidP="00C70715">
            <w:pPr>
              <w:pStyle w:val="NoSpacing"/>
              <w:rPr>
                <w:lang w:eastAsia="en-US"/>
              </w:rPr>
            </w:pPr>
            <w:r>
              <w:rPr>
                <w:lang w:eastAsia="en-US"/>
              </w:rPr>
              <w:t>3</w:t>
            </w:r>
          </w:p>
        </w:tc>
        <w:tc>
          <w:tcPr>
            <w:tcW w:w="995"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094AEA" w:rsidRDefault="00A56EC3" w:rsidP="00C70715">
            <w:pPr>
              <w:pStyle w:val="NoSpacing"/>
              <w:rPr>
                <w:lang w:eastAsia="en-US"/>
              </w:rPr>
            </w:pPr>
            <w:r w:rsidRPr="00094AEA">
              <w:rPr>
                <w:lang w:eastAsia="en-US"/>
              </w:rPr>
              <w:t>3 x Teaching assistant support mathematics</w:t>
            </w:r>
          </w:p>
          <w:p w:rsidR="00A56EC3" w:rsidRPr="00094AEA" w:rsidRDefault="00A56EC3" w:rsidP="00C70715">
            <w:pPr>
              <w:pStyle w:val="NoSpacing"/>
              <w:rPr>
                <w:lang w:eastAsia="en-US"/>
              </w:rPr>
            </w:pPr>
            <w:r w:rsidRPr="00094AEA">
              <w:rPr>
                <w:lang w:eastAsia="en-US"/>
              </w:rPr>
              <w:t>(Success in Arithmetic- 3 x 45 mins per week)</w:t>
            </w:r>
          </w:p>
        </w:tc>
        <w:tc>
          <w:tcPr>
            <w:tcW w:w="881" w:type="pct"/>
            <w:vMerge/>
            <w:tcBorders>
              <w:left w:val="single" w:sz="4" w:space="0" w:color="auto"/>
              <w:right w:val="single" w:sz="4" w:space="0" w:color="auto"/>
            </w:tcBorders>
            <w:shd w:val="clear" w:color="auto" w:fill="EEECE1" w:themeFill="background2"/>
          </w:tcPr>
          <w:p w:rsidR="00A56EC3" w:rsidRPr="00094AEA" w:rsidRDefault="00A56EC3" w:rsidP="00E37135">
            <w:pPr>
              <w:pStyle w:val="NoSpacing"/>
              <w:jc w:val="right"/>
              <w:rPr>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C70715">
            <w:pPr>
              <w:pStyle w:val="NoSpacing"/>
              <w:rPr>
                <w:lang w:eastAsia="en-US"/>
              </w:rPr>
            </w:pPr>
            <w:r w:rsidRPr="00FF36F0">
              <w:rPr>
                <w:lang w:eastAsia="en-US"/>
              </w:rPr>
              <w:t>To close gap by moving focussing on children not yet at age related expectations increasing progress between Yr 2 and Yr 6..</w:t>
            </w:r>
          </w:p>
        </w:tc>
        <w:tc>
          <w:tcPr>
            <w:tcW w:w="1831"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C70715">
            <w:pPr>
              <w:pStyle w:val="NoSpacing"/>
              <w:rPr>
                <w:lang w:eastAsia="en-US"/>
              </w:rPr>
            </w:pPr>
            <w:r>
              <w:rPr>
                <w:lang w:eastAsia="en-US"/>
              </w:rPr>
              <w:t>Maths outcomes for PP children were good 83.3% achieving expected level.</w:t>
            </w:r>
          </w:p>
        </w:tc>
      </w:tr>
      <w:tr w:rsidR="00A56EC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C70715">
            <w:pPr>
              <w:pStyle w:val="NoSpacing"/>
              <w:rPr>
                <w:lang w:eastAsia="en-US"/>
              </w:rPr>
            </w:pPr>
            <w:r>
              <w:rPr>
                <w:lang w:eastAsia="en-US"/>
              </w:rPr>
              <w:t>4</w:t>
            </w:r>
          </w:p>
        </w:tc>
        <w:tc>
          <w:tcPr>
            <w:tcW w:w="995"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C70715">
            <w:pPr>
              <w:pStyle w:val="NoSpacing"/>
              <w:rPr>
                <w:lang w:eastAsia="en-US"/>
              </w:rPr>
            </w:pPr>
            <w:r w:rsidRPr="00FF36F0">
              <w:rPr>
                <w:lang w:eastAsia="en-US"/>
              </w:rPr>
              <w:t>SEND Teaching assistant support for Pupil Premium children with ASD/EBD</w:t>
            </w:r>
          </w:p>
        </w:tc>
        <w:tc>
          <w:tcPr>
            <w:tcW w:w="881" w:type="pct"/>
            <w:vMerge/>
            <w:tcBorders>
              <w:left w:val="single" w:sz="4" w:space="0" w:color="auto"/>
              <w:right w:val="single" w:sz="4" w:space="0" w:color="auto"/>
            </w:tcBorders>
            <w:shd w:val="clear" w:color="auto" w:fill="EEECE1" w:themeFill="background2"/>
          </w:tcPr>
          <w:p w:rsidR="00A56EC3" w:rsidRPr="00FF36F0" w:rsidRDefault="00A56EC3" w:rsidP="00E37135">
            <w:pPr>
              <w:pStyle w:val="NoSpacing"/>
              <w:jc w:val="right"/>
              <w:rPr>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C70715">
            <w:pPr>
              <w:pStyle w:val="NoSpacing"/>
              <w:rPr>
                <w:lang w:eastAsia="en-US"/>
              </w:rPr>
            </w:pPr>
            <w:r w:rsidRPr="00FF36F0">
              <w:rPr>
                <w:lang w:eastAsia="en-US"/>
              </w:rPr>
              <w:t>To enable all pupils to access the curriculum and make progress.</w:t>
            </w:r>
          </w:p>
        </w:tc>
        <w:tc>
          <w:tcPr>
            <w:tcW w:w="1831"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C70715">
            <w:pPr>
              <w:pStyle w:val="NoSpacing"/>
              <w:rPr>
                <w:lang w:eastAsia="en-US"/>
              </w:rPr>
            </w:pPr>
            <w:r>
              <w:rPr>
                <w:lang w:eastAsia="en-US"/>
              </w:rPr>
              <w:t>All ASD/EBD children were well supported and taught alongside peers for all lessons when appropriate.</w:t>
            </w:r>
          </w:p>
        </w:tc>
      </w:tr>
      <w:tr w:rsidR="00A56EC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C70715">
            <w:pPr>
              <w:pStyle w:val="NoSpacing"/>
              <w:rPr>
                <w:lang w:eastAsia="en-US"/>
              </w:rPr>
            </w:pPr>
            <w:r>
              <w:rPr>
                <w:lang w:eastAsia="en-US"/>
              </w:rPr>
              <w:t>5</w:t>
            </w:r>
          </w:p>
        </w:tc>
        <w:tc>
          <w:tcPr>
            <w:tcW w:w="995"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C70715">
            <w:pPr>
              <w:pStyle w:val="NoSpacing"/>
              <w:rPr>
                <w:lang w:eastAsia="en-US"/>
              </w:rPr>
            </w:pPr>
            <w:r w:rsidRPr="00FF36F0">
              <w:rPr>
                <w:lang w:eastAsia="en-US"/>
              </w:rPr>
              <w:t>Lunchtime playleaders/nurture group TAs to support children with SEND/EBD.</w:t>
            </w:r>
          </w:p>
        </w:tc>
        <w:tc>
          <w:tcPr>
            <w:tcW w:w="881" w:type="pct"/>
            <w:vMerge/>
            <w:tcBorders>
              <w:left w:val="single" w:sz="4" w:space="0" w:color="auto"/>
              <w:bottom w:val="single" w:sz="4" w:space="0" w:color="auto"/>
              <w:right w:val="single" w:sz="4" w:space="0" w:color="auto"/>
            </w:tcBorders>
            <w:shd w:val="clear" w:color="auto" w:fill="EEECE1" w:themeFill="background2"/>
          </w:tcPr>
          <w:p w:rsidR="00A56EC3" w:rsidRPr="00FF36F0" w:rsidRDefault="00A56EC3" w:rsidP="00E37135">
            <w:pPr>
              <w:pStyle w:val="NoSpacing"/>
              <w:jc w:val="right"/>
              <w:rPr>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C70715">
            <w:pPr>
              <w:pStyle w:val="NoSpacing"/>
              <w:rPr>
                <w:lang w:eastAsia="en-US"/>
              </w:rPr>
            </w:pPr>
            <w:r w:rsidRPr="00FF36F0">
              <w:rPr>
                <w:lang w:eastAsia="en-US"/>
              </w:rPr>
              <w:t>Children with SEND/EBD have positive play and socialization experiences with peers.</w:t>
            </w:r>
          </w:p>
        </w:tc>
        <w:tc>
          <w:tcPr>
            <w:tcW w:w="1831" w:type="pct"/>
            <w:tcBorders>
              <w:top w:val="single" w:sz="4" w:space="0" w:color="auto"/>
              <w:left w:val="single" w:sz="4" w:space="0" w:color="auto"/>
              <w:bottom w:val="single" w:sz="4" w:space="0" w:color="auto"/>
              <w:right w:val="single" w:sz="4" w:space="0" w:color="auto"/>
            </w:tcBorders>
            <w:shd w:val="clear" w:color="auto" w:fill="EEECE1" w:themeFill="background2"/>
          </w:tcPr>
          <w:p w:rsidR="00A56EC3" w:rsidRPr="00FF36F0" w:rsidRDefault="00A56EC3" w:rsidP="00C70715">
            <w:pPr>
              <w:pStyle w:val="NoSpacing"/>
              <w:rPr>
                <w:lang w:eastAsia="en-US"/>
              </w:rPr>
            </w:pPr>
            <w:r>
              <w:rPr>
                <w:lang w:eastAsia="en-US"/>
              </w:rPr>
              <w:t>Vulnerable children enjoyed positive playtimes and were able to socialise with peers.</w:t>
            </w: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094AEA" w:rsidRDefault="00714B13" w:rsidP="00FF36F0">
            <w:pPr>
              <w:pStyle w:val="NoSpacing"/>
              <w:rPr>
                <w:lang w:eastAsia="en-US"/>
              </w:rPr>
            </w:pPr>
            <w:r>
              <w:rPr>
                <w:lang w:eastAsia="en-US"/>
              </w:rPr>
              <w:t>6</w:t>
            </w:r>
          </w:p>
        </w:tc>
        <w:tc>
          <w:tcPr>
            <w:tcW w:w="99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FF36F0" w:rsidRDefault="00714B13" w:rsidP="00FF36F0">
            <w:pPr>
              <w:pStyle w:val="NoSpacing"/>
              <w:rPr>
                <w:lang w:eastAsia="en-US"/>
              </w:rPr>
            </w:pPr>
            <w:r w:rsidRPr="00094AEA">
              <w:rPr>
                <w:lang w:eastAsia="en-US"/>
              </w:rPr>
              <w:t>Provision of CGP revision guides and homework book KS1 and KS2 English, Mathematics and Science)</w:t>
            </w:r>
          </w:p>
          <w:p w:rsidR="00714B13" w:rsidRPr="00FF36F0" w:rsidRDefault="00714B13" w:rsidP="00FF36F0">
            <w:pPr>
              <w:pStyle w:val="NoSpacing"/>
              <w:rPr>
                <w:lang w:eastAsia="en-US"/>
              </w:rPr>
            </w:pPr>
          </w:p>
        </w:tc>
        <w:tc>
          <w:tcPr>
            <w:tcW w:w="88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14B13" w:rsidRPr="00FF36F0" w:rsidRDefault="00714B13" w:rsidP="00075D7C">
            <w:pPr>
              <w:pStyle w:val="NoSpacing"/>
              <w:jc w:val="right"/>
              <w:rPr>
                <w:lang w:eastAsia="en-US"/>
              </w:rPr>
            </w:pPr>
            <w:r>
              <w:rPr>
                <w:lang w:eastAsia="en-US"/>
              </w:rPr>
              <w:t>£6</w:t>
            </w:r>
            <w:r w:rsidR="00A56EC3">
              <w:rPr>
                <w:lang w:eastAsia="en-US"/>
              </w:rPr>
              <w:t>88.79</w:t>
            </w:r>
          </w:p>
        </w:tc>
        <w:tc>
          <w:tcPr>
            <w:tcW w:w="104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FF36F0" w:rsidRDefault="00714B13" w:rsidP="00FF36F0">
            <w:pPr>
              <w:pStyle w:val="NoSpacing"/>
              <w:rPr>
                <w:lang w:eastAsia="en-US"/>
              </w:rPr>
            </w:pPr>
            <w:r w:rsidRPr="00FF36F0">
              <w:rPr>
                <w:lang w:eastAsia="en-US"/>
              </w:rPr>
              <w:t xml:space="preserve">To enable children to complete homework and in turn be successful in class. </w:t>
            </w:r>
          </w:p>
        </w:tc>
        <w:tc>
          <w:tcPr>
            <w:tcW w:w="183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14B13" w:rsidRPr="00FF36F0" w:rsidRDefault="00714B13" w:rsidP="008E0D61">
            <w:pPr>
              <w:pStyle w:val="NoSpacing"/>
              <w:rPr>
                <w:lang w:eastAsia="en-US"/>
              </w:rPr>
            </w:pPr>
            <w:r>
              <w:rPr>
                <w:lang w:eastAsia="en-US"/>
              </w:rPr>
              <w:t>All children were able to complete home learning using books rather than photocopies increasing pupils valuing of home learning.92% returned home learning regularly</w:t>
            </w: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8E0D61" w:rsidRDefault="00714B13" w:rsidP="00FF36F0">
            <w:pPr>
              <w:pStyle w:val="NoSpacing"/>
              <w:rPr>
                <w:lang w:eastAsia="en-US"/>
              </w:rPr>
            </w:pPr>
            <w:r>
              <w:rPr>
                <w:lang w:eastAsia="en-US"/>
              </w:rPr>
              <w:t>7</w:t>
            </w:r>
          </w:p>
        </w:tc>
        <w:tc>
          <w:tcPr>
            <w:tcW w:w="99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8E0D61" w:rsidRDefault="00714B13" w:rsidP="00FF36F0">
            <w:pPr>
              <w:pStyle w:val="NoSpacing"/>
              <w:rPr>
                <w:lang w:eastAsia="en-US"/>
              </w:rPr>
            </w:pPr>
          </w:p>
        </w:tc>
        <w:tc>
          <w:tcPr>
            <w:tcW w:w="88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8E0D61" w:rsidRDefault="00714B13" w:rsidP="00E37135">
            <w:pPr>
              <w:pStyle w:val="NoSpacing"/>
              <w:jc w:val="right"/>
              <w:rPr>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8E0D61" w:rsidRDefault="00714B13" w:rsidP="00FF36F0">
            <w:pPr>
              <w:pStyle w:val="NoSpacing"/>
              <w:rPr>
                <w:lang w:eastAsia="en-US"/>
              </w:rPr>
            </w:pPr>
          </w:p>
        </w:tc>
        <w:tc>
          <w:tcPr>
            <w:tcW w:w="183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FF36F0" w:rsidRDefault="00714B13" w:rsidP="00605D94">
            <w:pPr>
              <w:pStyle w:val="NoSpacing"/>
              <w:rPr>
                <w:lang w:eastAsia="en-US"/>
              </w:rPr>
            </w:pP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DC1CDD" w:rsidRDefault="00714B13" w:rsidP="00FF36F0">
            <w:pPr>
              <w:pStyle w:val="NoSpacing"/>
              <w:rPr>
                <w:lang w:eastAsia="en-US"/>
              </w:rPr>
            </w:pPr>
            <w:r>
              <w:rPr>
                <w:lang w:eastAsia="en-US"/>
              </w:rPr>
              <w:t>8</w:t>
            </w:r>
          </w:p>
        </w:tc>
        <w:tc>
          <w:tcPr>
            <w:tcW w:w="99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DC1CDD" w:rsidRDefault="00714B13" w:rsidP="00FF36F0">
            <w:pPr>
              <w:pStyle w:val="NoSpacing"/>
              <w:rPr>
                <w:lang w:eastAsia="en-US"/>
              </w:rPr>
            </w:pPr>
            <w:r w:rsidRPr="00DC1CDD">
              <w:rPr>
                <w:lang w:eastAsia="en-US"/>
              </w:rPr>
              <w:t>More Able provision</w:t>
            </w:r>
          </w:p>
        </w:tc>
        <w:tc>
          <w:tcPr>
            <w:tcW w:w="88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14B13" w:rsidRPr="00DC1CDD" w:rsidRDefault="00714B13" w:rsidP="00075D7C">
            <w:pPr>
              <w:pStyle w:val="NoSpacing"/>
              <w:jc w:val="right"/>
              <w:rPr>
                <w:lang w:eastAsia="en-US"/>
              </w:rPr>
            </w:pPr>
            <w:r w:rsidRPr="00DC1CDD">
              <w:rPr>
                <w:lang w:eastAsia="en-US"/>
              </w:rPr>
              <w:t>£171</w:t>
            </w:r>
          </w:p>
        </w:tc>
        <w:tc>
          <w:tcPr>
            <w:tcW w:w="104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DC1CDD" w:rsidRDefault="00714B13" w:rsidP="00FF36F0">
            <w:pPr>
              <w:pStyle w:val="NoSpacing"/>
              <w:rPr>
                <w:lang w:eastAsia="en-US"/>
              </w:rPr>
            </w:pPr>
            <w:r w:rsidRPr="00DC1CDD">
              <w:rPr>
                <w:lang w:eastAsia="en-US"/>
              </w:rPr>
              <w:t>To enable more able children to attend enrichment sessions we will pay 50% of costs. Recognising a range of talents and interests, raising expectations</w:t>
            </w:r>
          </w:p>
        </w:tc>
        <w:tc>
          <w:tcPr>
            <w:tcW w:w="183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4B13" w:rsidRPr="00FF36F0" w:rsidRDefault="00714B13" w:rsidP="00FF36F0">
            <w:pPr>
              <w:pStyle w:val="NoSpacing"/>
              <w:rPr>
                <w:lang w:eastAsia="en-US"/>
              </w:rPr>
            </w:pPr>
            <w:r>
              <w:rPr>
                <w:lang w:eastAsia="en-US"/>
              </w:rPr>
              <w:t>The school ran regular enrichment sessions throughout the year and we signposted to external providers. The school paid 50% of any costs.</w:t>
            </w:r>
          </w:p>
        </w:tc>
      </w:tr>
      <w:tr w:rsidR="00714B13" w:rsidRPr="00FF36F0" w:rsidTr="00075D7C">
        <w:trPr>
          <w:trHeight w:val="1050"/>
        </w:trPr>
        <w:tc>
          <w:tcPr>
            <w:tcW w:w="2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094AEA" w:rsidRDefault="00714B13" w:rsidP="00C70715">
            <w:pPr>
              <w:pStyle w:val="NoSpacing"/>
              <w:rPr>
                <w:lang w:eastAsia="en-US"/>
              </w:rPr>
            </w:pPr>
            <w:r>
              <w:rPr>
                <w:lang w:eastAsia="en-US"/>
              </w:rPr>
              <w:t>9</w:t>
            </w:r>
          </w:p>
        </w:tc>
        <w:tc>
          <w:tcPr>
            <w:tcW w:w="99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094AEA" w:rsidRDefault="00714B13" w:rsidP="00C70715">
            <w:pPr>
              <w:pStyle w:val="NoSpacing"/>
              <w:rPr>
                <w:lang w:eastAsia="en-US"/>
              </w:rPr>
            </w:pPr>
            <w:r w:rsidRPr="00094AEA">
              <w:rPr>
                <w:lang w:eastAsia="en-US"/>
              </w:rPr>
              <w:t>Subsidised Breakfast Club places</w:t>
            </w:r>
          </w:p>
        </w:tc>
        <w:tc>
          <w:tcPr>
            <w:tcW w:w="88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714B13" w:rsidRPr="00094AEA" w:rsidRDefault="00714B13" w:rsidP="00075D7C">
            <w:pPr>
              <w:pStyle w:val="NoSpacing"/>
              <w:jc w:val="right"/>
              <w:rPr>
                <w:lang w:eastAsia="en-US"/>
              </w:rPr>
            </w:pPr>
            <w:r w:rsidRPr="00094AEA">
              <w:rPr>
                <w:lang w:eastAsia="en-US"/>
              </w:rPr>
              <w:t>£</w:t>
            </w:r>
            <w:r w:rsidR="00A56EC3">
              <w:rPr>
                <w:lang w:eastAsia="en-US"/>
              </w:rPr>
              <w:t>1</w:t>
            </w:r>
            <w:r w:rsidRPr="00094AEA">
              <w:rPr>
                <w:lang w:eastAsia="en-US"/>
              </w:rPr>
              <w:t>,</w:t>
            </w:r>
            <w:r w:rsidR="00A56EC3">
              <w:rPr>
                <w:lang w:eastAsia="en-US"/>
              </w:rPr>
              <w:t>845.50</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FF36F0" w:rsidRDefault="00714B13" w:rsidP="00C70715">
            <w:pPr>
              <w:pStyle w:val="NoSpacing"/>
              <w:rPr>
                <w:lang w:eastAsia="en-US"/>
              </w:rPr>
            </w:pPr>
            <w:r w:rsidRPr="00FF36F0">
              <w:rPr>
                <w:lang w:eastAsia="en-US"/>
              </w:rPr>
              <w:t>To provide pupils with a breakfast before school and opportunities to access additional reading sessions and 1:1 sessions.</w:t>
            </w:r>
          </w:p>
          <w:p w:rsidR="00714B13" w:rsidRPr="00FF36F0" w:rsidRDefault="00714B13" w:rsidP="00C70715">
            <w:pPr>
              <w:pStyle w:val="NoSpacing"/>
              <w:rPr>
                <w:lang w:eastAsia="en-US"/>
              </w:rPr>
            </w:pPr>
            <w:r w:rsidRPr="00FF36F0">
              <w:rPr>
                <w:lang w:eastAsia="en-US"/>
              </w:rPr>
              <w:lastRenderedPageBreak/>
              <w:t>To prevent persistent lateness and poor attendance.</w:t>
            </w:r>
          </w:p>
        </w:tc>
        <w:tc>
          <w:tcPr>
            <w:tcW w:w="183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FF36F0" w:rsidRDefault="00714B13" w:rsidP="00605D94">
            <w:pPr>
              <w:pStyle w:val="NoSpacing"/>
              <w:rPr>
                <w:lang w:eastAsia="en-US"/>
              </w:rPr>
            </w:pPr>
            <w:r>
              <w:rPr>
                <w:lang w:eastAsia="en-US"/>
              </w:rPr>
              <w:lastRenderedPageBreak/>
              <w:t xml:space="preserve">Children identified clearly benefitted from Breakfast Club. Additional opportunities to read, access online learning programmes and start the day with breakfast. We also identified children who needed a set routine to the day to settle. Feedback from children and parents is good. (See pupil perception </w:t>
            </w:r>
            <w:r>
              <w:rPr>
                <w:lang w:eastAsia="en-US"/>
              </w:rPr>
              <w:lastRenderedPageBreak/>
              <w:t>survey).</w:t>
            </w:r>
          </w:p>
        </w:tc>
      </w:tr>
      <w:tr w:rsidR="00714B13" w:rsidRPr="00FF36F0" w:rsidTr="00075D7C">
        <w:trPr>
          <w:trHeight w:val="1404"/>
        </w:trPr>
        <w:tc>
          <w:tcPr>
            <w:tcW w:w="2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FF36F0" w:rsidRDefault="00714B13" w:rsidP="00FF36F0">
            <w:pPr>
              <w:pStyle w:val="NoSpacing"/>
              <w:rPr>
                <w:lang w:eastAsia="en-US"/>
              </w:rPr>
            </w:pPr>
            <w:r>
              <w:rPr>
                <w:lang w:eastAsia="en-US"/>
              </w:rPr>
              <w:lastRenderedPageBreak/>
              <w:t>10</w:t>
            </w:r>
          </w:p>
        </w:tc>
        <w:tc>
          <w:tcPr>
            <w:tcW w:w="995"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14B13" w:rsidRPr="00FF36F0" w:rsidRDefault="00714B13" w:rsidP="00FF36F0">
            <w:pPr>
              <w:pStyle w:val="NoSpacing"/>
              <w:rPr>
                <w:lang w:eastAsia="en-US"/>
              </w:rPr>
            </w:pPr>
            <w:r w:rsidRPr="00FF36F0">
              <w:rPr>
                <w:lang w:eastAsia="en-US"/>
              </w:rPr>
              <w:t>Provision of school uniform-2 jumpers per pupil</w:t>
            </w:r>
          </w:p>
          <w:p w:rsidR="00714B13" w:rsidRPr="00FF36F0" w:rsidRDefault="00714B13" w:rsidP="00FF36F0">
            <w:pPr>
              <w:pStyle w:val="NoSpacing"/>
              <w:rPr>
                <w:lang w:eastAsia="en-US"/>
              </w:rPr>
            </w:pPr>
          </w:p>
        </w:tc>
        <w:tc>
          <w:tcPr>
            <w:tcW w:w="88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714B13" w:rsidRPr="00094AEA" w:rsidRDefault="00714B13" w:rsidP="00075D7C">
            <w:pPr>
              <w:pStyle w:val="NoSpacing"/>
              <w:jc w:val="right"/>
              <w:rPr>
                <w:lang w:eastAsia="en-US"/>
              </w:rPr>
            </w:pPr>
            <w:r w:rsidRPr="00094AEA">
              <w:rPr>
                <w:lang w:eastAsia="en-US"/>
              </w:rPr>
              <w:t>£</w:t>
            </w:r>
            <w:r w:rsidR="00A56EC3">
              <w:rPr>
                <w:lang w:eastAsia="en-US"/>
              </w:rPr>
              <w:t>484.45</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14B13" w:rsidRPr="00FF36F0" w:rsidRDefault="00714B13" w:rsidP="00FF36F0">
            <w:pPr>
              <w:pStyle w:val="NoSpacing"/>
              <w:rPr>
                <w:lang w:eastAsia="en-US"/>
              </w:rPr>
            </w:pPr>
            <w:r w:rsidRPr="00FF36F0">
              <w:rPr>
                <w:lang w:eastAsia="en-US"/>
              </w:rPr>
              <w:t>To improve pupils’ confidence and self-esteem.</w:t>
            </w:r>
          </w:p>
        </w:tc>
        <w:tc>
          <w:tcPr>
            <w:tcW w:w="183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FF36F0" w:rsidRDefault="00714B13" w:rsidP="00FF36F0">
            <w:pPr>
              <w:pStyle w:val="NoSpacing"/>
              <w:rPr>
                <w:lang w:eastAsia="en-US"/>
              </w:rPr>
            </w:pPr>
            <w:r>
              <w:rPr>
                <w:lang w:eastAsia="en-US"/>
              </w:rPr>
              <w:t>All children have the opportunity to look smart and feel part of the school. Our families welcome the free uniform and place their orders ready for the new academic year.</w:t>
            </w: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FF36F0" w:rsidRDefault="00714B13" w:rsidP="00FF36F0">
            <w:pPr>
              <w:pStyle w:val="NoSpacing"/>
              <w:rPr>
                <w:lang w:eastAsia="en-US"/>
              </w:rPr>
            </w:pPr>
            <w:r>
              <w:rPr>
                <w:lang w:eastAsia="en-US"/>
              </w:rPr>
              <w:t>11</w:t>
            </w:r>
          </w:p>
        </w:tc>
        <w:tc>
          <w:tcPr>
            <w:tcW w:w="99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FF36F0" w:rsidRDefault="00714B13" w:rsidP="00FF36F0">
            <w:pPr>
              <w:pStyle w:val="NoSpacing"/>
              <w:rPr>
                <w:lang w:eastAsia="en-US"/>
              </w:rPr>
            </w:pPr>
          </w:p>
        </w:tc>
        <w:tc>
          <w:tcPr>
            <w:tcW w:w="88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094AEA" w:rsidRDefault="00714B13" w:rsidP="00E37135">
            <w:pPr>
              <w:pStyle w:val="NoSpacing"/>
              <w:jc w:val="right"/>
              <w:rPr>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FF36F0" w:rsidRDefault="00714B13" w:rsidP="00FF36F0">
            <w:pPr>
              <w:pStyle w:val="NoSpacing"/>
              <w:rPr>
                <w:lang w:eastAsia="en-US"/>
              </w:rPr>
            </w:pPr>
          </w:p>
        </w:tc>
        <w:tc>
          <w:tcPr>
            <w:tcW w:w="183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FF36F0" w:rsidRDefault="00714B13" w:rsidP="00FF36F0">
            <w:pPr>
              <w:pStyle w:val="NoSpacing"/>
              <w:rPr>
                <w:lang w:eastAsia="en-US"/>
              </w:rPr>
            </w:pP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094AEA" w:rsidRDefault="00714B13" w:rsidP="00FF36F0">
            <w:pPr>
              <w:pStyle w:val="NoSpacing"/>
              <w:rPr>
                <w:lang w:eastAsia="en-US"/>
              </w:rPr>
            </w:pPr>
            <w:r>
              <w:rPr>
                <w:lang w:eastAsia="en-US"/>
              </w:rPr>
              <w:t>12</w:t>
            </w:r>
          </w:p>
        </w:tc>
        <w:tc>
          <w:tcPr>
            <w:tcW w:w="99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094AEA" w:rsidRDefault="00714B13" w:rsidP="00FF36F0">
            <w:pPr>
              <w:pStyle w:val="NoSpacing"/>
              <w:rPr>
                <w:lang w:eastAsia="en-US"/>
              </w:rPr>
            </w:pPr>
          </w:p>
        </w:tc>
        <w:tc>
          <w:tcPr>
            <w:tcW w:w="88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094AEA" w:rsidRDefault="00714B13" w:rsidP="00E37135">
            <w:pPr>
              <w:pStyle w:val="NoSpacing"/>
              <w:jc w:val="right"/>
              <w:rPr>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FF36F0" w:rsidRDefault="00714B13" w:rsidP="00343DDC">
            <w:pPr>
              <w:pStyle w:val="NoSpacing"/>
              <w:rPr>
                <w:lang w:eastAsia="en-US"/>
              </w:rPr>
            </w:pPr>
          </w:p>
        </w:tc>
        <w:tc>
          <w:tcPr>
            <w:tcW w:w="183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4B13" w:rsidRPr="00FF36F0" w:rsidRDefault="00714B13" w:rsidP="00CF6479">
            <w:pPr>
              <w:pStyle w:val="NoSpacing"/>
              <w:rPr>
                <w:lang w:eastAsia="en-US"/>
              </w:rPr>
            </w:pP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094AEA" w:rsidRDefault="00714B13" w:rsidP="00FF36F0">
            <w:pPr>
              <w:pStyle w:val="NoSpacing"/>
              <w:rPr>
                <w:lang w:eastAsia="en-US"/>
              </w:rPr>
            </w:pPr>
            <w:r>
              <w:rPr>
                <w:lang w:eastAsia="en-US"/>
              </w:rPr>
              <w:t>13</w:t>
            </w:r>
          </w:p>
        </w:tc>
        <w:tc>
          <w:tcPr>
            <w:tcW w:w="9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094AEA" w:rsidRDefault="00714B13" w:rsidP="00FF36F0">
            <w:pPr>
              <w:pStyle w:val="NoSpacing"/>
              <w:rPr>
                <w:lang w:eastAsia="en-US"/>
              </w:rPr>
            </w:pPr>
            <w:r w:rsidRPr="00094AEA">
              <w:rPr>
                <w:lang w:eastAsia="en-US"/>
              </w:rPr>
              <w:t>Achievement For All</w:t>
            </w:r>
          </w:p>
        </w:tc>
        <w:tc>
          <w:tcPr>
            <w:tcW w:w="88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094AEA" w:rsidRDefault="00714B13" w:rsidP="00E37135">
            <w:pPr>
              <w:pStyle w:val="NoSpacing"/>
              <w:jc w:val="right"/>
              <w:rPr>
                <w:lang w:eastAsia="en-US"/>
              </w:rPr>
            </w:pPr>
            <w:r w:rsidRPr="00094AEA">
              <w:rPr>
                <w:lang w:eastAsia="en-US"/>
              </w:rPr>
              <w:t>£3014</w:t>
            </w:r>
            <w:r w:rsidR="00A56EC3">
              <w:rPr>
                <w:lang w:eastAsia="en-US"/>
              </w:rPr>
              <w:t>.56</w:t>
            </w:r>
          </w:p>
        </w:tc>
        <w:tc>
          <w:tcPr>
            <w:tcW w:w="104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F36F0">
            <w:pPr>
              <w:pStyle w:val="NoSpacing"/>
              <w:rPr>
                <w:lang w:eastAsia="en-US"/>
              </w:rPr>
            </w:pPr>
            <w:r>
              <w:rPr>
                <w:lang w:eastAsia="en-US"/>
              </w:rPr>
              <w:t>To raise attainment for disadvantaged children: aspire, access and achieve.</w:t>
            </w:r>
          </w:p>
        </w:tc>
        <w:tc>
          <w:tcPr>
            <w:tcW w:w="183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Default="00714B13" w:rsidP="00FF36F0">
            <w:pPr>
              <w:pStyle w:val="NoSpacing"/>
              <w:rPr>
                <w:lang w:eastAsia="en-US"/>
              </w:rPr>
            </w:pPr>
            <w:r>
              <w:rPr>
                <w:lang w:eastAsia="en-US"/>
              </w:rPr>
              <w:t>The school is working with AFA over a two year period. We have improved engagement with approximately 50 families. Clear targets were agreed with the children and parents. In July, we held our first celebration event with these families to recognise their efforts and achievements.</w:t>
            </w:r>
          </w:p>
          <w:p w:rsidR="00714B13" w:rsidRPr="00FF36F0" w:rsidRDefault="00714B13" w:rsidP="00FF36F0">
            <w:pPr>
              <w:pStyle w:val="NoSpacing"/>
              <w:rPr>
                <w:lang w:eastAsia="en-US"/>
              </w:rPr>
            </w:pPr>
            <w:r>
              <w:rPr>
                <w:lang w:eastAsia="en-US"/>
              </w:rPr>
              <w:t>AFA will continue to work with us to raise children’s self-esteem and to train our staff both teachers and TAs.</w:t>
            </w: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F36F0">
            <w:pPr>
              <w:pStyle w:val="NoSpacing"/>
              <w:rPr>
                <w:lang w:eastAsia="en-US"/>
              </w:rPr>
            </w:pPr>
            <w:r>
              <w:rPr>
                <w:lang w:eastAsia="en-US"/>
              </w:rPr>
              <w:t>14</w:t>
            </w:r>
          </w:p>
        </w:tc>
        <w:tc>
          <w:tcPr>
            <w:tcW w:w="9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F36F0">
            <w:pPr>
              <w:pStyle w:val="NoSpacing"/>
              <w:rPr>
                <w:lang w:eastAsia="en-US"/>
              </w:rPr>
            </w:pPr>
            <w:r w:rsidRPr="00FF36F0">
              <w:rPr>
                <w:lang w:eastAsia="en-US"/>
              </w:rPr>
              <w:t>Speech and language project with 2 other schools. Purchase of additional resources, training, parent sessions and visitors to school.</w:t>
            </w:r>
          </w:p>
        </w:tc>
        <w:tc>
          <w:tcPr>
            <w:tcW w:w="88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E37135">
            <w:pPr>
              <w:pStyle w:val="NoSpacing"/>
              <w:jc w:val="right"/>
              <w:rPr>
                <w:lang w:eastAsia="en-US"/>
              </w:rPr>
            </w:pPr>
            <w:r w:rsidRPr="00094AEA">
              <w:rPr>
                <w:lang w:eastAsia="en-US"/>
              </w:rPr>
              <w:t>£2,000</w:t>
            </w:r>
          </w:p>
        </w:tc>
        <w:tc>
          <w:tcPr>
            <w:tcW w:w="104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F36F0">
            <w:pPr>
              <w:pStyle w:val="NoSpacing"/>
              <w:rPr>
                <w:lang w:eastAsia="en-US"/>
              </w:rPr>
            </w:pPr>
            <w:r w:rsidRPr="00FF36F0">
              <w:rPr>
                <w:lang w:eastAsia="en-US"/>
              </w:rPr>
              <w:t>To develop speech and language in the Early Years and throughout the school.</w:t>
            </w:r>
          </w:p>
        </w:tc>
        <w:tc>
          <w:tcPr>
            <w:tcW w:w="183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F36F0">
            <w:pPr>
              <w:pStyle w:val="NoSpacing"/>
              <w:rPr>
                <w:lang w:eastAsia="en-US"/>
              </w:rPr>
            </w:pPr>
            <w:r>
              <w:rPr>
                <w:lang w:eastAsia="en-US"/>
              </w:rPr>
              <w:t>This project has surpassed our initial expectations. The school received additional funding from the EEF to drive this project. Staff training, new resources, initiatives to enthuse parents to talk and read with their children, changes to how we teach are evident throughout the school. Most importantly, we have raised the profile of speaking and listening and now have a new room dedicated to storytelling and reading with lots of story sacks, puppets and a puppet theatre. KS1 phonics 91% and EYFS GLD 71%.</w:t>
            </w:r>
          </w:p>
        </w:tc>
      </w:tr>
      <w:tr w:rsidR="00714B13" w:rsidRPr="00FF36F0" w:rsidTr="00075D7C">
        <w:trPr>
          <w:trHeight w:val="1978"/>
        </w:trPr>
        <w:tc>
          <w:tcPr>
            <w:tcW w:w="25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9824FE">
            <w:pPr>
              <w:pStyle w:val="NoSpacing"/>
              <w:rPr>
                <w:lang w:eastAsia="en-US"/>
              </w:rPr>
            </w:pPr>
            <w:r>
              <w:rPr>
                <w:lang w:eastAsia="en-US"/>
              </w:rPr>
              <w:t>15</w:t>
            </w:r>
          </w:p>
        </w:tc>
        <w:tc>
          <w:tcPr>
            <w:tcW w:w="9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9824FE">
            <w:pPr>
              <w:pStyle w:val="NoSpacing"/>
              <w:rPr>
                <w:lang w:eastAsia="en-US"/>
              </w:rPr>
            </w:pPr>
            <w:r w:rsidRPr="00FF36F0">
              <w:rPr>
                <w:lang w:eastAsia="en-US"/>
              </w:rPr>
              <w:t>School contribution to Accelerated Reader as part of EEF bid.</w:t>
            </w:r>
          </w:p>
        </w:tc>
        <w:tc>
          <w:tcPr>
            <w:tcW w:w="88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E37135">
            <w:pPr>
              <w:pStyle w:val="NoSpacing"/>
              <w:jc w:val="right"/>
              <w:rPr>
                <w:lang w:eastAsia="en-US"/>
              </w:rPr>
            </w:pPr>
            <w:r w:rsidRPr="00FF36F0">
              <w:rPr>
                <w:lang w:eastAsia="en-US"/>
              </w:rPr>
              <w:t>£1,000</w:t>
            </w:r>
          </w:p>
        </w:tc>
        <w:tc>
          <w:tcPr>
            <w:tcW w:w="104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9824FE">
            <w:pPr>
              <w:pStyle w:val="NoSpacing"/>
              <w:rPr>
                <w:lang w:eastAsia="en-US"/>
              </w:rPr>
            </w:pPr>
            <w:r w:rsidRPr="00FF36F0">
              <w:rPr>
                <w:lang w:eastAsia="en-US"/>
              </w:rPr>
              <w:t>To support all children in UKS2 to make more progress between Yr 2 and Yr 6 in reading.</w:t>
            </w:r>
          </w:p>
          <w:p w:rsidR="00714B13" w:rsidRPr="00FF36F0" w:rsidRDefault="00714B13" w:rsidP="009824FE">
            <w:pPr>
              <w:pStyle w:val="NoSpacing"/>
              <w:rPr>
                <w:lang w:eastAsia="en-US"/>
              </w:rPr>
            </w:pPr>
          </w:p>
        </w:tc>
        <w:tc>
          <w:tcPr>
            <w:tcW w:w="1831" w:type="pct"/>
            <w:vMerge w:val="restart"/>
            <w:tcBorders>
              <w:top w:val="single" w:sz="4" w:space="0" w:color="auto"/>
              <w:left w:val="single" w:sz="4" w:space="0" w:color="auto"/>
              <w:right w:val="single" w:sz="4" w:space="0" w:color="auto"/>
            </w:tcBorders>
            <w:shd w:val="clear" w:color="auto" w:fill="EAF1DD" w:themeFill="accent3" w:themeFillTint="33"/>
          </w:tcPr>
          <w:p w:rsidR="00714B13" w:rsidRDefault="00714B13" w:rsidP="0053590D">
            <w:pPr>
              <w:pStyle w:val="NoSpacing"/>
              <w:rPr>
                <w:rFonts w:eastAsiaTheme="minorHAnsi"/>
                <w:lang w:eastAsia="en-US"/>
              </w:rPr>
            </w:pPr>
            <w:r w:rsidRPr="0053590D">
              <w:rPr>
                <w:rFonts w:eastAsiaTheme="minorHAnsi"/>
                <w:lang w:eastAsia="en-US"/>
              </w:rPr>
              <w:t>The Year Five pupils started in October and completed their final test in June. The difference of 8 months being expected progress with a range between 7-9 months being used as expected progress. Anything over 9 months is accelerated progress.</w:t>
            </w:r>
          </w:p>
          <w:p w:rsidR="00714B13" w:rsidRPr="0053590D" w:rsidRDefault="00714B13" w:rsidP="0053590D">
            <w:pPr>
              <w:pStyle w:val="NoSpacing"/>
              <w:rPr>
                <w:rFonts w:eastAsiaTheme="minorHAnsi"/>
                <w:lang w:eastAsia="en-US"/>
              </w:rPr>
            </w:pPr>
          </w:p>
          <w:p w:rsidR="00714B13" w:rsidRPr="0053590D" w:rsidRDefault="00714B13" w:rsidP="0053590D">
            <w:pPr>
              <w:pStyle w:val="NoSpacing"/>
              <w:rPr>
                <w:rFonts w:eastAsiaTheme="minorHAnsi"/>
                <w:lang w:eastAsia="en-US"/>
              </w:rPr>
            </w:pPr>
            <w:r w:rsidRPr="0053590D">
              <w:rPr>
                <w:rFonts w:eastAsiaTheme="minorHAnsi"/>
                <w:lang w:eastAsia="en-US"/>
              </w:rPr>
              <w:t>In years three and four the first test was taken in March and the final test in June. The difference of 3 months with a range of 2-4 months being used as expected progress. Anything over 4 months is accelerated progress.</w:t>
            </w:r>
          </w:p>
          <w:tbl>
            <w:tblPr>
              <w:tblStyle w:val="TableGrid"/>
              <w:tblW w:w="5000" w:type="pct"/>
              <w:tblInd w:w="0" w:type="dxa"/>
              <w:tblLook w:val="04A0" w:firstRow="1" w:lastRow="0" w:firstColumn="1" w:lastColumn="0" w:noHBand="0" w:noVBand="1"/>
            </w:tblPr>
            <w:tblGrid>
              <w:gridCol w:w="650"/>
              <w:gridCol w:w="1050"/>
              <w:gridCol w:w="1050"/>
              <w:gridCol w:w="1273"/>
            </w:tblGrid>
            <w:tr w:rsidR="00714B13" w:rsidRPr="0053590D" w:rsidTr="00075D7C">
              <w:tc>
                <w:tcPr>
                  <w:tcW w:w="564" w:type="pct"/>
                </w:tcPr>
                <w:p w:rsidR="00714B13" w:rsidRPr="0053590D" w:rsidRDefault="00714B13" w:rsidP="0053590D">
                  <w:pPr>
                    <w:pStyle w:val="NoSpacing"/>
                    <w:rPr>
                      <w:rFonts w:eastAsiaTheme="minorHAnsi"/>
                      <w:b/>
                      <w:u w:val="single"/>
                      <w:lang w:eastAsia="en-US"/>
                    </w:rPr>
                  </w:pPr>
                  <w:r w:rsidRPr="0053590D">
                    <w:rPr>
                      <w:rFonts w:eastAsiaTheme="minorHAnsi"/>
                      <w:b/>
                      <w:u w:val="single"/>
                      <w:lang w:eastAsia="en-US"/>
                    </w:rPr>
                    <w:t>Year</w:t>
                  </w:r>
                </w:p>
              </w:tc>
              <w:tc>
                <w:tcPr>
                  <w:tcW w:w="1533" w:type="pct"/>
                  <w:shd w:val="clear" w:color="auto" w:fill="FF0000"/>
                </w:tcPr>
                <w:p w:rsidR="00714B13" w:rsidRPr="0053590D" w:rsidRDefault="00714B13" w:rsidP="0053590D">
                  <w:pPr>
                    <w:pStyle w:val="NoSpacing"/>
                    <w:rPr>
                      <w:rFonts w:eastAsiaTheme="minorHAnsi"/>
                      <w:lang w:eastAsia="en-US"/>
                    </w:rPr>
                  </w:pPr>
                  <w:r w:rsidRPr="0053590D">
                    <w:rPr>
                      <w:rFonts w:eastAsiaTheme="minorHAnsi"/>
                      <w:lang w:eastAsia="en-US"/>
                    </w:rPr>
                    <w:t>Below Expected Progress</w:t>
                  </w:r>
                </w:p>
              </w:tc>
              <w:tc>
                <w:tcPr>
                  <w:tcW w:w="1532" w:type="pct"/>
                  <w:shd w:val="clear" w:color="auto" w:fill="FFFF00"/>
                </w:tcPr>
                <w:p w:rsidR="00714B13" w:rsidRPr="0053590D" w:rsidRDefault="00714B13" w:rsidP="0053590D">
                  <w:pPr>
                    <w:pStyle w:val="NoSpacing"/>
                    <w:rPr>
                      <w:rFonts w:eastAsiaTheme="minorHAnsi"/>
                      <w:lang w:eastAsia="en-US"/>
                    </w:rPr>
                  </w:pPr>
                  <w:r w:rsidRPr="0053590D">
                    <w:rPr>
                      <w:rFonts w:eastAsiaTheme="minorHAnsi"/>
                      <w:lang w:eastAsia="en-US"/>
                    </w:rPr>
                    <w:t>Expected progress</w:t>
                  </w:r>
                </w:p>
              </w:tc>
              <w:tc>
                <w:tcPr>
                  <w:tcW w:w="1371" w:type="pct"/>
                  <w:shd w:val="clear" w:color="auto" w:fill="92D050"/>
                </w:tcPr>
                <w:p w:rsidR="00714B13" w:rsidRPr="0053590D" w:rsidRDefault="00714B13" w:rsidP="0053590D">
                  <w:pPr>
                    <w:pStyle w:val="NoSpacing"/>
                    <w:rPr>
                      <w:rFonts w:eastAsiaTheme="minorHAnsi"/>
                      <w:lang w:eastAsia="en-US"/>
                    </w:rPr>
                  </w:pPr>
                  <w:r w:rsidRPr="0053590D">
                    <w:rPr>
                      <w:rFonts w:eastAsiaTheme="minorHAnsi"/>
                      <w:lang w:eastAsia="en-US"/>
                    </w:rPr>
                    <w:t>Accelerated Progress</w:t>
                  </w:r>
                </w:p>
              </w:tc>
            </w:tr>
            <w:tr w:rsidR="00714B13" w:rsidRPr="0053590D" w:rsidTr="00075D7C">
              <w:tc>
                <w:tcPr>
                  <w:tcW w:w="564" w:type="pct"/>
                </w:tcPr>
                <w:p w:rsidR="00714B13" w:rsidRPr="0053590D" w:rsidRDefault="00714B13" w:rsidP="0053590D">
                  <w:pPr>
                    <w:pStyle w:val="NoSpacing"/>
                    <w:rPr>
                      <w:rFonts w:eastAsiaTheme="minorHAnsi"/>
                      <w:b/>
                      <w:u w:val="single"/>
                      <w:lang w:eastAsia="en-US"/>
                    </w:rPr>
                  </w:pPr>
                  <w:r w:rsidRPr="0053590D">
                    <w:rPr>
                      <w:rFonts w:eastAsiaTheme="minorHAnsi"/>
                      <w:b/>
                      <w:u w:val="single"/>
                      <w:lang w:eastAsia="en-US"/>
                    </w:rPr>
                    <w:t>3</w:t>
                  </w:r>
                </w:p>
              </w:tc>
              <w:tc>
                <w:tcPr>
                  <w:tcW w:w="1533" w:type="pct"/>
                </w:tcPr>
                <w:p w:rsidR="00714B13" w:rsidRPr="0053590D" w:rsidRDefault="00714B13" w:rsidP="0053590D">
                  <w:pPr>
                    <w:pStyle w:val="NoSpacing"/>
                    <w:rPr>
                      <w:rFonts w:eastAsiaTheme="minorHAnsi"/>
                      <w:b/>
                      <w:lang w:eastAsia="en-US"/>
                    </w:rPr>
                  </w:pPr>
                  <w:r w:rsidRPr="0053590D">
                    <w:rPr>
                      <w:rFonts w:eastAsiaTheme="minorHAnsi"/>
                      <w:b/>
                      <w:lang w:eastAsia="en-US"/>
                    </w:rPr>
                    <w:t>28%</w:t>
                  </w:r>
                </w:p>
              </w:tc>
              <w:tc>
                <w:tcPr>
                  <w:tcW w:w="1532" w:type="pct"/>
                </w:tcPr>
                <w:p w:rsidR="00714B13" w:rsidRPr="0053590D" w:rsidRDefault="00714B13" w:rsidP="0053590D">
                  <w:pPr>
                    <w:pStyle w:val="NoSpacing"/>
                    <w:rPr>
                      <w:rFonts w:eastAsiaTheme="minorHAnsi"/>
                      <w:b/>
                      <w:lang w:eastAsia="en-US"/>
                    </w:rPr>
                  </w:pPr>
                  <w:r w:rsidRPr="0053590D">
                    <w:rPr>
                      <w:rFonts w:eastAsiaTheme="minorHAnsi"/>
                      <w:b/>
                      <w:lang w:eastAsia="en-US"/>
                    </w:rPr>
                    <w:t>33%</w:t>
                  </w:r>
                </w:p>
              </w:tc>
              <w:tc>
                <w:tcPr>
                  <w:tcW w:w="1371" w:type="pct"/>
                </w:tcPr>
                <w:p w:rsidR="00714B13" w:rsidRPr="0053590D" w:rsidRDefault="00714B13" w:rsidP="0053590D">
                  <w:pPr>
                    <w:pStyle w:val="NoSpacing"/>
                    <w:rPr>
                      <w:rFonts w:eastAsiaTheme="minorHAnsi"/>
                      <w:b/>
                      <w:lang w:eastAsia="en-US"/>
                    </w:rPr>
                  </w:pPr>
                  <w:r w:rsidRPr="0053590D">
                    <w:rPr>
                      <w:rFonts w:eastAsiaTheme="minorHAnsi"/>
                      <w:b/>
                      <w:lang w:eastAsia="en-US"/>
                    </w:rPr>
                    <w:t>38%</w:t>
                  </w:r>
                </w:p>
              </w:tc>
            </w:tr>
            <w:tr w:rsidR="00714B13" w:rsidRPr="0053590D" w:rsidTr="00075D7C">
              <w:tc>
                <w:tcPr>
                  <w:tcW w:w="564" w:type="pct"/>
                </w:tcPr>
                <w:p w:rsidR="00714B13" w:rsidRPr="0053590D" w:rsidRDefault="00714B13" w:rsidP="0053590D">
                  <w:pPr>
                    <w:pStyle w:val="NoSpacing"/>
                    <w:rPr>
                      <w:rFonts w:eastAsiaTheme="minorHAnsi"/>
                      <w:b/>
                      <w:u w:val="single"/>
                      <w:lang w:eastAsia="en-US"/>
                    </w:rPr>
                  </w:pPr>
                  <w:r w:rsidRPr="0053590D">
                    <w:rPr>
                      <w:rFonts w:eastAsiaTheme="minorHAnsi"/>
                      <w:b/>
                      <w:u w:val="single"/>
                      <w:lang w:eastAsia="en-US"/>
                    </w:rPr>
                    <w:t>4</w:t>
                  </w:r>
                </w:p>
              </w:tc>
              <w:tc>
                <w:tcPr>
                  <w:tcW w:w="1533" w:type="pct"/>
                </w:tcPr>
                <w:p w:rsidR="00714B13" w:rsidRPr="0053590D" w:rsidRDefault="00714B13" w:rsidP="0053590D">
                  <w:pPr>
                    <w:pStyle w:val="NoSpacing"/>
                    <w:rPr>
                      <w:rFonts w:eastAsiaTheme="minorHAnsi"/>
                      <w:b/>
                      <w:lang w:eastAsia="en-US"/>
                    </w:rPr>
                  </w:pPr>
                  <w:r w:rsidRPr="0053590D">
                    <w:rPr>
                      <w:rFonts w:eastAsiaTheme="minorHAnsi"/>
                      <w:b/>
                      <w:lang w:eastAsia="en-US"/>
                    </w:rPr>
                    <w:t>41%</w:t>
                  </w:r>
                </w:p>
              </w:tc>
              <w:tc>
                <w:tcPr>
                  <w:tcW w:w="1532" w:type="pct"/>
                </w:tcPr>
                <w:p w:rsidR="00714B13" w:rsidRPr="0053590D" w:rsidRDefault="00714B13" w:rsidP="0053590D">
                  <w:pPr>
                    <w:pStyle w:val="NoSpacing"/>
                    <w:rPr>
                      <w:rFonts w:eastAsiaTheme="minorHAnsi"/>
                      <w:b/>
                      <w:lang w:eastAsia="en-US"/>
                    </w:rPr>
                  </w:pPr>
                  <w:r w:rsidRPr="0053590D">
                    <w:rPr>
                      <w:rFonts w:eastAsiaTheme="minorHAnsi"/>
                      <w:b/>
                      <w:lang w:eastAsia="en-US"/>
                    </w:rPr>
                    <w:t>10%</w:t>
                  </w:r>
                </w:p>
              </w:tc>
              <w:tc>
                <w:tcPr>
                  <w:tcW w:w="1371" w:type="pct"/>
                </w:tcPr>
                <w:p w:rsidR="00714B13" w:rsidRPr="0053590D" w:rsidRDefault="00714B13" w:rsidP="0053590D">
                  <w:pPr>
                    <w:pStyle w:val="NoSpacing"/>
                    <w:rPr>
                      <w:rFonts w:eastAsiaTheme="minorHAnsi"/>
                      <w:b/>
                      <w:lang w:eastAsia="en-US"/>
                    </w:rPr>
                  </w:pPr>
                  <w:r w:rsidRPr="0053590D">
                    <w:rPr>
                      <w:rFonts w:eastAsiaTheme="minorHAnsi"/>
                      <w:b/>
                      <w:lang w:eastAsia="en-US"/>
                    </w:rPr>
                    <w:t>49%</w:t>
                  </w:r>
                </w:p>
              </w:tc>
            </w:tr>
            <w:tr w:rsidR="00714B13" w:rsidRPr="0053590D" w:rsidTr="00075D7C">
              <w:tc>
                <w:tcPr>
                  <w:tcW w:w="564" w:type="pct"/>
                </w:tcPr>
                <w:p w:rsidR="00714B13" w:rsidRPr="0053590D" w:rsidRDefault="00714B13" w:rsidP="0053590D">
                  <w:pPr>
                    <w:pStyle w:val="NoSpacing"/>
                    <w:rPr>
                      <w:rFonts w:eastAsiaTheme="minorHAnsi"/>
                      <w:b/>
                      <w:u w:val="single"/>
                      <w:lang w:eastAsia="en-US"/>
                    </w:rPr>
                  </w:pPr>
                  <w:r w:rsidRPr="0053590D">
                    <w:rPr>
                      <w:rFonts w:eastAsiaTheme="minorHAnsi"/>
                      <w:b/>
                      <w:u w:val="single"/>
                      <w:lang w:eastAsia="en-US"/>
                    </w:rPr>
                    <w:t>5</w:t>
                  </w:r>
                </w:p>
              </w:tc>
              <w:tc>
                <w:tcPr>
                  <w:tcW w:w="1533" w:type="pct"/>
                </w:tcPr>
                <w:p w:rsidR="00714B13" w:rsidRPr="0053590D" w:rsidRDefault="00714B13" w:rsidP="0053590D">
                  <w:pPr>
                    <w:pStyle w:val="NoSpacing"/>
                    <w:rPr>
                      <w:rFonts w:eastAsiaTheme="minorHAnsi"/>
                      <w:b/>
                      <w:lang w:eastAsia="en-US"/>
                    </w:rPr>
                  </w:pPr>
                  <w:r w:rsidRPr="0053590D">
                    <w:rPr>
                      <w:rFonts w:eastAsiaTheme="minorHAnsi"/>
                      <w:b/>
                      <w:lang w:eastAsia="en-US"/>
                    </w:rPr>
                    <w:t>17%</w:t>
                  </w:r>
                </w:p>
              </w:tc>
              <w:tc>
                <w:tcPr>
                  <w:tcW w:w="1532" w:type="pct"/>
                </w:tcPr>
                <w:p w:rsidR="00714B13" w:rsidRPr="0053590D" w:rsidRDefault="00714B13" w:rsidP="0053590D">
                  <w:pPr>
                    <w:pStyle w:val="NoSpacing"/>
                    <w:rPr>
                      <w:rFonts w:eastAsiaTheme="minorHAnsi"/>
                      <w:b/>
                      <w:lang w:eastAsia="en-US"/>
                    </w:rPr>
                  </w:pPr>
                  <w:r w:rsidRPr="0053590D">
                    <w:rPr>
                      <w:rFonts w:eastAsiaTheme="minorHAnsi"/>
                      <w:b/>
                      <w:lang w:eastAsia="en-US"/>
                    </w:rPr>
                    <w:t>19%</w:t>
                  </w:r>
                </w:p>
              </w:tc>
              <w:tc>
                <w:tcPr>
                  <w:tcW w:w="1371" w:type="pct"/>
                </w:tcPr>
                <w:p w:rsidR="00714B13" w:rsidRPr="0053590D" w:rsidRDefault="00714B13" w:rsidP="0053590D">
                  <w:pPr>
                    <w:pStyle w:val="NoSpacing"/>
                    <w:rPr>
                      <w:rFonts w:eastAsiaTheme="minorHAnsi"/>
                      <w:b/>
                      <w:lang w:eastAsia="en-US"/>
                    </w:rPr>
                  </w:pPr>
                  <w:r w:rsidRPr="0053590D">
                    <w:rPr>
                      <w:rFonts w:eastAsiaTheme="minorHAnsi"/>
                      <w:b/>
                      <w:lang w:eastAsia="en-US"/>
                    </w:rPr>
                    <w:t>64%</w:t>
                  </w:r>
                </w:p>
              </w:tc>
            </w:tr>
          </w:tbl>
          <w:p w:rsidR="00714B13" w:rsidRPr="00FF36F0" w:rsidRDefault="00714B13" w:rsidP="00FF36F0">
            <w:pPr>
              <w:pStyle w:val="NoSpacing"/>
              <w:rPr>
                <w:lang w:eastAsia="en-US"/>
              </w:rPr>
            </w:pPr>
          </w:p>
        </w:tc>
      </w:tr>
      <w:tr w:rsidR="00714B13" w:rsidRPr="00FF36F0" w:rsidTr="00075D7C">
        <w:trPr>
          <w:trHeight w:val="2465"/>
        </w:trPr>
        <w:tc>
          <w:tcPr>
            <w:tcW w:w="25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094AEA" w:rsidRDefault="00714B13" w:rsidP="00721650">
            <w:pPr>
              <w:pStyle w:val="NoSpacing"/>
              <w:rPr>
                <w:lang w:eastAsia="en-US"/>
              </w:rPr>
            </w:pPr>
            <w:r>
              <w:rPr>
                <w:lang w:eastAsia="en-US"/>
              </w:rPr>
              <w:t>16</w:t>
            </w:r>
          </w:p>
        </w:tc>
        <w:tc>
          <w:tcPr>
            <w:tcW w:w="9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094AEA" w:rsidRDefault="00714B13" w:rsidP="00721650">
            <w:pPr>
              <w:pStyle w:val="NoSpacing"/>
              <w:rPr>
                <w:lang w:eastAsia="en-US"/>
              </w:rPr>
            </w:pPr>
          </w:p>
        </w:tc>
        <w:tc>
          <w:tcPr>
            <w:tcW w:w="88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094AEA" w:rsidRDefault="00714B13" w:rsidP="00E37135">
            <w:pPr>
              <w:pStyle w:val="NoSpacing"/>
              <w:jc w:val="right"/>
              <w:rPr>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721650">
            <w:pPr>
              <w:pStyle w:val="NoSpacing"/>
              <w:rPr>
                <w:lang w:eastAsia="en-US"/>
              </w:rPr>
            </w:pPr>
          </w:p>
        </w:tc>
        <w:tc>
          <w:tcPr>
            <w:tcW w:w="1831" w:type="pct"/>
            <w:vMerge/>
            <w:tcBorders>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721650">
            <w:pPr>
              <w:pStyle w:val="NoSpacing"/>
              <w:rPr>
                <w:lang w:eastAsia="en-US"/>
              </w:rPr>
            </w:pPr>
          </w:p>
        </w:tc>
      </w:tr>
      <w:tr w:rsidR="00714B13" w:rsidRPr="00FF36F0" w:rsidTr="00075D7C">
        <w:trPr>
          <w:trHeight w:val="1261"/>
        </w:trPr>
        <w:tc>
          <w:tcPr>
            <w:tcW w:w="25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C37EE">
            <w:pPr>
              <w:pStyle w:val="NoSpacing"/>
              <w:rPr>
                <w:lang w:eastAsia="en-US"/>
              </w:rPr>
            </w:pPr>
            <w:r>
              <w:rPr>
                <w:lang w:eastAsia="en-US"/>
              </w:rPr>
              <w:t>17</w:t>
            </w:r>
          </w:p>
        </w:tc>
        <w:tc>
          <w:tcPr>
            <w:tcW w:w="9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C37EE">
            <w:pPr>
              <w:pStyle w:val="NoSpacing"/>
              <w:rPr>
                <w:lang w:eastAsia="en-US"/>
              </w:rPr>
            </w:pPr>
            <w:r w:rsidRPr="00FF36F0">
              <w:rPr>
                <w:lang w:eastAsia="en-US"/>
              </w:rPr>
              <w:t>TLC Mathematics 1:1 tuition</w:t>
            </w:r>
          </w:p>
          <w:p w:rsidR="00714B13" w:rsidRPr="00FF36F0" w:rsidRDefault="00714B13" w:rsidP="00FC37EE">
            <w:pPr>
              <w:pStyle w:val="NoSpacing"/>
              <w:rPr>
                <w:lang w:eastAsia="en-US"/>
              </w:rPr>
            </w:pPr>
            <w:r w:rsidRPr="00FF36F0">
              <w:rPr>
                <w:lang w:eastAsia="en-US"/>
              </w:rPr>
              <w:t>12 children, 1 hour per week each term for 10 weeks</w:t>
            </w:r>
          </w:p>
        </w:tc>
        <w:tc>
          <w:tcPr>
            <w:tcW w:w="88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0F2479">
            <w:pPr>
              <w:pStyle w:val="NoSpacing"/>
              <w:jc w:val="right"/>
              <w:rPr>
                <w:lang w:eastAsia="en-US"/>
              </w:rPr>
            </w:pPr>
            <w:r>
              <w:rPr>
                <w:lang w:eastAsia="en-US"/>
              </w:rPr>
              <w:t>£</w:t>
            </w:r>
            <w:r w:rsidR="000F2479">
              <w:rPr>
                <w:lang w:eastAsia="en-US"/>
              </w:rPr>
              <w:t>3888.00</w:t>
            </w:r>
          </w:p>
        </w:tc>
        <w:tc>
          <w:tcPr>
            <w:tcW w:w="104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C37EE">
            <w:pPr>
              <w:pStyle w:val="NoSpacing"/>
              <w:rPr>
                <w:lang w:eastAsia="en-US"/>
              </w:rPr>
            </w:pPr>
            <w:r w:rsidRPr="00FF36F0">
              <w:rPr>
                <w:lang w:eastAsia="en-US"/>
              </w:rPr>
              <w:t>To support children in UKS2 not yet meeting age related expectations increasing progress between Yr 2 and Yr 6.</w:t>
            </w:r>
          </w:p>
          <w:p w:rsidR="00714B13" w:rsidRPr="00FF36F0" w:rsidRDefault="00714B13" w:rsidP="00FC37EE">
            <w:pPr>
              <w:pStyle w:val="NoSpacing"/>
              <w:rPr>
                <w:lang w:eastAsia="en-US"/>
              </w:rPr>
            </w:pPr>
          </w:p>
        </w:tc>
        <w:tc>
          <w:tcPr>
            <w:tcW w:w="183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F36F0">
            <w:pPr>
              <w:pStyle w:val="NoSpacing"/>
              <w:rPr>
                <w:lang w:eastAsia="en-US"/>
              </w:rPr>
            </w:pPr>
            <w:r>
              <w:rPr>
                <w:lang w:eastAsia="en-US"/>
              </w:rPr>
              <w:t>This ran for autumn term only due to insufficient impact.</w:t>
            </w:r>
          </w:p>
        </w:tc>
      </w:tr>
      <w:tr w:rsidR="00714B13" w:rsidRPr="00FF36F0" w:rsidTr="00075D7C">
        <w:trPr>
          <w:trHeight w:val="698"/>
        </w:trPr>
        <w:tc>
          <w:tcPr>
            <w:tcW w:w="25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Default="00714B13" w:rsidP="00FC37EE">
            <w:pPr>
              <w:pStyle w:val="NoSpacing"/>
              <w:rPr>
                <w:lang w:eastAsia="en-US"/>
              </w:rPr>
            </w:pPr>
            <w:r>
              <w:rPr>
                <w:lang w:eastAsia="en-US"/>
              </w:rPr>
              <w:lastRenderedPageBreak/>
              <w:t>18</w:t>
            </w:r>
          </w:p>
        </w:tc>
        <w:tc>
          <w:tcPr>
            <w:tcW w:w="9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C37EE">
            <w:pPr>
              <w:pStyle w:val="NoSpacing"/>
              <w:rPr>
                <w:lang w:eastAsia="en-US"/>
              </w:rPr>
            </w:pPr>
            <w:r>
              <w:rPr>
                <w:lang w:eastAsia="en-US"/>
              </w:rPr>
              <w:t>Maths No Problem</w:t>
            </w:r>
          </w:p>
        </w:tc>
        <w:tc>
          <w:tcPr>
            <w:tcW w:w="88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Default="00714B13" w:rsidP="00E37135">
            <w:pPr>
              <w:pStyle w:val="NoSpacing"/>
              <w:jc w:val="right"/>
              <w:rPr>
                <w:lang w:eastAsia="en-US"/>
              </w:rPr>
            </w:pPr>
            <w:r>
              <w:rPr>
                <w:lang w:eastAsia="en-US"/>
              </w:rPr>
              <w:t>£270</w:t>
            </w:r>
            <w:r w:rsidR="000F2479">
              <w:rPr>
                <w:lang w:eastAsia="en-US"/>
              </w:rPr>
              <w:t>.36</w:t>
            </w:r>
          </w:p>
        </w:tc>
        <w:tc>
          <w:tcPr>
            <w:tcW w:w="104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FF36F0" w:rsidRDefault="00714B13" w:rsidP="00FC37EE">
            <w:pPr>
              <w:pStyle w:val="NoSpacing"/>
              <w:rPr>
                <w:lang w:eastAsia="en-US"/>
              </w:rPr>
            </w:pPr>
            <w:r>
              <w:rPr>
                <w:lang w:eastAsia="en-US"/>
              </w:rPr>
              <w:t>Training and resources to enhance existing to raise standards.</w:t>
            </w:r>
          </w:p>
        </w:tc>
        <w:tc>
          <w:tcPr>
            <w:tcW w:w="183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Pr="0053590D" w:rsidRDefault="00714B13" w:rsidP="00FF36F0">
            <w:pPr>
              <w:pStyle w:val="NoSpacing"/>
              <w:rPr>
                <w:highlight w:val="yellow"/>
                <w:lang w:eastAsia="en-US"/>
              </w:rPr>
            </w:pPr>
            <w:r w:rsidRPr="0053590D">
              <w:rPr>
                <w:highlight w:val="yellow"/>
                <w:lang w:eastAsia="en-US"/>
              </w:rPr>
              <w:t>Year 6</w:t>
            </w:r>
            <w:r>
              <w:rPr>
                <w:highlight w:val="yellow"/>
                <w:lang w:eastAsia="en-US"/>
              </w:rPr>
              <w:t xml:space="preserve"> Pupil Premium maths outcomes</w:t>
            </w:r>
            <w:r w:rsidRPr="0053590D">
              <w:rPr>
                <w:highlight w:val="yellow"/>
                <w:lang w:eastAsia="en-US"/>
              </w:rPr>
              <w:t xml:space="preserve"> </w:t>
            </w:r>
          </w:p>
          <w:p w:rsidR="00714B13" w:rsidRDefault="00714B13" w:rsidP="00075D7C">
            <w:pPr>
              <w:pStyle w:val="NoSpacing"/>
              <w:rPr>
                <w:lang w:eastAsia="en-US"/>
              </w:rPr>
            </w:pPr>
            <w:r w:rsidRPr="0053590D">
              <w:rPr>
                <w:highlight w:val="yellow"/>
                <w:lang w:eastAsia="en-US"/>
              </w:rPr>
              <w:t xml:space="preserve">83.3% expected , greater depth </w:t>
            </w:r>
            <w:r w:rsidR="00075D7C">
              <w:rPr>
                <w:highlight w:val="yellow"/>
                <w:lang w:eastAsia="en-US"/>
              </w:rPr>
              <w:t>21</w:t>
            </w:r>
            <w:r w:rsidRPr="0053590D">
              <w:rPr>
                <w:highlight w:val="yellow"/>
                <w:lang w:eastAsia="en-US"/>
              </w:rPr>
              <w:t>% (provisional)</w:t>
            </w:r>
          </w:p>
        </w:tc>
      </w:tr>
      <w:tr w:rsidR="00714B13" w:rsidRPr="00FF36F0" w:rsidTr="00075D7C">
        <w:trPr>
          <w:trHeight w:val="698"/>
        </w:trPr>
        <w:tc>
          <w:tcPr>
            <w:tcW w:w="25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Default="00714B13" w:rsidP="00FC37EE">
            <w:pPr>
              <w:pStyle w:val="NoSpacing"/>
              <w:rPr>
                <w:lang w:eastAsia="en-US"/>
              </w:rPr>
            </w:pPr>
            <w:r>
              <w:rPr>
                <w:lang w:eastAsia="en-US"/>
              </w:rPr>
              <w:t>19</w:t>
            </w:r>
          </w:p>
        </w:tc>
        <w:tc>
          <w:tcPr>
            <w:tcW w:w="9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Default="00714B13" w:rsidP="00FC37EE">
            <w:pPr>
              <w:pStyle w:val="NoSpacing"/>
              <w:rPr>
                <w:lang w:eastAsia="en-US"/>
              </w:rPr>
            </w:pPr>
            <w:r>
              <w:rPr>
                <w:lang w:eastAsia="en-US"/>
              </w:rPr>
              <w:t>Lexia</w:t>
            </w:r>
          </w:p>
        </w:tc>
        <w:tc>
          <w:tcPr>
            <w:tcW w:w="88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Default="00714B13" w:rsidP="000F2479">
            <w:pPr>
              <w:pStyle w:val="NoSpacing"/>
              <w:jc w:val="right"/>
              <w:rPr>
                <w:lang w:eastAsia="en-US"/>
              </w:rPr>
            </w:pPr>
            <w:r>
              <w:rPr>
                <w:lang w:eastAsia="en-US"/>
              </w:rPr>
              <w:t>£</w:t>
            </w:r>
            <w:r w:rsidR="000F2479">
              <w:rPr>
                <w:lang w:eastAsia="en-US"/>
              </w:rPr>
              <w:t>6210.00</w:t>
            </w:r>
          </w:p>
        </w:tc>
        <w:tc>
          <w:tcPr>
            <w:tcW w:w="104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Default="00714B13" w:rsidP="00FC37EE">
            <w:pPr>
              <w:pStyle w:val="NoSpacing"/>
              <w:rPr>
                <w:lang w:eastAsia="en-US"/>
              </w:rPr>
            </w:pPr>
            <w:r>
              <w:rPr>
                <w:lang w:eastAsia="en-US"/>
              </w:rPr>
              <w:t>To support 100 children over 3 years with spelling, punctuation grammar and reading comprehension.</w:t>
            </w:r>
          </w:p>
        </w:tc>
        <w:tc>
          <w:tcPr>
            <w:tcW w:w="183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4B13" w:rsidRDefault="00714B13" w:rsidP="00407CB5">
            <w:pPr>
              <w:pStyle w:val="NoSpacing"/>
              <w:rPr>
                <w:lang w:eastAsia="en-US"/>
              </w:rPr>
            </w:pPr>
            <w:r>
              <w:rPr>
                <w:lang w:eastAsia="en-US"/>
              </w:rPr>
              <w:t>Trialled for free, introduced June 17 and then purchased for a three year period. Initial evaluations show some children really enjoy using the programme. It is a different type of reading intervention to Accelerated Reader and we hope that it will capture the more reluctant readers and improve their spelling, punctuation and grammar to impact positively on writing too. We have allocated to PP children, low achievers, and those slow to make progress.  Next year, we will be able to see if Lexia assessments fall in line with teacher and tests.</w:t>
            </w:r>
          </w:p>
        </w:tc>
      </w:tr>
      <w:tr w:rsidR="00714B13" w:rsidRPr="00FF36F0" w:rsidTr="00075D7C">
        <w:trPr>
          <w:trHeight w:val="818"/>
        </w:trPr>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BE357D" w:rsidRDefault="00714B13" w:rsidP="00611A12">
            <w:pPr>
              <w:pStyle w:val="NoSpacing"/>
              <w:rPr>
                <w:lang w:eastAsia="en-US"/>
              </w:rPr>
            </w:pPr>
            <w:r>
              <w:rPr>
                <w:lang w:eastAsia="en-US"/>
              </w:rPr>
              <w:t>20</w:t>
            </w:r>
          </w:p>
        </w:tc>
        <w:tc>
          <w:tcPr>
            <w:tcW w:w="99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BE357D" w:rsidRDefault="00714B13" w:rsidP="00611A12">
            <w:pPr>
              <w:pStyle w:val="NoSpacing"/>
              <w:rPr>
                <w:lang w:eastAsia="en-US"/>
              </w:rPr>
            </w:pPr>
            <w:r w:rsidRPr="00BE357D">
              <w:rPr>
                <w:lang w:eastAsia="en-US"/>
              </w:rPr>
              <w:t>Employing Safeguarding and Welfare Officer</w:t>
            </w: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BE357D" w:rsidRDefault="00714B13" w:rsidP="000F2479">
            <w:pPr>
              <w:pStyle w:val="NoSpacing"/>
              <w:jc w:val="right"/>
              <w:rPr>
                <w:lang w:eastAsia="en-US"/>
              </w:rPr>
            </w:pPr>
            <w:r w:rsidRPr="00BE357D">
              <w:rPr>
                <w:lang w:eastAsia="en-US"/>
              </w:rPr>
              <w:t>£</w:t>
            </w:r>
            <w:r w:rsidR="000F2479">
              <w:rPr>
                <w:lang w:eastAsia="en-US"/>
              </w:rPr>
              <w:t>5620.70</w:t>
            </w:r>
          </w:p>
        </w:tc>
        <w:tc>
          <w:tcPr>
            <w:tcW w:w="1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611A12">
            <w:pPr>
              <w:pStyle w:val="NoSpacing"/>
              <w:rPr>
                <w:lang w:eastAsia="en-US"/>
              </w:rPr>
            </w:pPr>
            <w:r>
              <w:rPr>
                <w:lang w:eastAsia="en-US"/>
              </w:rPr>
              <w:t>To ensure all safeguarding is of the highest standard, procedures are effective and our families are well supported.</w:t>
            </w:r>
          </w:p>
        </w:tc>
        <w:tc>
          <w:tcPr>
            <w:tcW w:w="183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Default="00714B13" w:rsidP="00FF36F0">
            <w:pPr>
              <w:pStyle w:val="NoSpacing"/>
              <w:rPr>
                <w:lang w:eastAsia="en-US"/>
              </w:rPr>
            </w:pPr>
            <w:r>
              <w:rPr>
                <w:lang w:eastAsia="en-US"/>
              </w:rPr>
              <w:t xml:space="preserve">The employment of a Safeguarding and Welfare officer has had a very positive impact on all procedures in school and enables us to support our families. </w:t>
            </w:r>
          </w:p>
          <w:p w:rsidR="00714B13" w:rsidRPr="00FF36F0" w:rsidRDefault="00714B13" w:rsidP="00F47F43">
            <w:pPr>
              <w:pStyle w:val="NoSpacing"/>
              <w:rPr>
                <w:lang w:eastAsia="en-US"/>
              </w:rPr>
            </w:pPr>
            <w:r>
              <w:rPr>
                <w:lang w:eastAsia="en-US"/>
              </w:rPr>
              <w:t xml:space="preserve">As the school grows in size and the expectation increases for us to provide a raft of early help, it is essential for all children that we have a member of staff dedicated to this role. </w:t>
            </w:r>
            <w:r w:rsidR="000F2479">
              <w:rPr>
                <w:lang w:eastAsia="en-US"/>
              </w:rPr>
              <w:t>% based on number of PP children.</w:t>
            </w:r>
          </w:p>
        </w:tc>
      </w:tr>
      <w:tr w:rsidR="00714B13" w:rsidRPr="00FF36F0" w:rsidTr="00075D7C">
        <w:trPr>
          <w:trHeight w:val="818"/>
        </w:trPr>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BE357D" w:rsidRDefault="00714B13" w:rsidP="00611A12">
            <w:pPr>
              <w:pStyle w:val="NoSpacing"/>
              <w:rPr>
                <w:lang w:eastAsia="en-US"/>
              </w:rPr>
            </w:pPr>
            <w:r>
              <w:rPr>
                <w:lang w:eastAsia="en-US"/>
              </w:rPr>
              <w:t>21</w:t>
            </w:r>
          </w:p>
        </w:tc>
        <w:tc>
          <w:tcPr>
            <w:tcW w:w="99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BE357D" w:rsidRDefault="00714B13" w:rsidP="00611A12">
            <w:pPr>
              <w:pStyle w:val="NoSpacing"/>
              <w:rPr>
                <w:lang w:eastAsia="en-US"/>
              </w:rPr>
            </w:pPr>
            <w:r w:rsidRPr="00BE357D">
              <w:rPr>
                <w:lang w:eastAsia="en-US"/>
              </w:rPr>
              <w:t>Speech and Language support</w:t>
            </w:r>
          </w:p>
          <w:p w:rsidR="00714B13" w:rsidRPr="00BE357D" w:rsidRDefault="00714B13" w:rsidP="00611A12">
            <w:pPr>
              <w:pStyle w:val="NoSpacing"/>
              <w:rPr>
                <w:lang w:eastAsia="en-US"/>
              </w:rPr>
            </w:pPr>
            <w:r w:rsidRPr="00BE357D">
              <w:rPr>
                <w:lang w:eastAsia="en-US"/>
              </w:rPr>
              <w:t>(3x10days)</w:t>
            </w: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BE357D" w:rsidRDefault="00714B13" w:rsidP="000F2479">
            <w:pPr>
              <w:pStyle w:val="NoSpacing"/>
              <w:jc w:val="right"/>
              <w:rPr>
                <w:lang w:eastAsia="en-US"/>
              </w:rPr>
            </w:pPr>
            <w:r w:rsidRPr="00BE357D">
              <w:rPr>
                <w:lang w:eastAsia="en-US"/>
              </w:rPr>
              <w:t>£</w:t>
            </w:r>
            <w:r w:rsidR="000F2479">
              <w:rPr>
                <w:lang w:eastAsia="en-US"/>
              </w:rPr>
              <w:t>4280.00</w:t>
            </w:r>
          </w:p>
        </w:tc>
        <w:tc>
          <w:tcPr>
            <w:tcW w:w="1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BE357D" w:rsidRDefault="00714B13" w:rsidP="00611A12">
            <w:pPr>
              <w:pStyle w:val="NoSpacing"/>
              <w:rPr>
                <w:lang w:eastAsia="en-US"/>
              </w:rPr>
            </w:pPr>
            <w:r w:rsidRPr="00BE357D">
              <w:rPr>
                <w:lang w:eastAsia="en-US"/>
              </w:rPr>
              <w:t>To identify and address S&amp;L difficulties to enable children to make better progress across the curriculum.</w:t>
            </w:r>
          </w:p>
        </w:tc>
        <w:tc>
          <w:tcPr>
            <w:tcW w:w="183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016F9A">
            <w:pPr>
              <w:pStyle w:val="NoSpacing"/>
              <w:rPr>
                <w:lang w:eastAsia="en-US"/>
              </w:rPr>
            </w:pPr>
            <w:r>
              <w:rPr>
                <w:lang w:eastAsia="en-US"/>
              </w:rPr>
              <w:t>The SALT has worked with 15 children this year. She has assessed their needs, provided individualised support, liaised with staff to continue support on a daily basis, and provided additional reports for use by other agencies to ensure the children get the appropriate support needed. The progress of these children is clear and 5 have been signed off as no longer needing her support however we continue to monitor and support in school.</w:t>
            </w:r>
          </w:p>
        </w:tc>
      </w:tr>
      <w:tr w:rsidR="00714B13" w:rsidRPr="00FF36F0" w:rsidTr="00075D7C">
        <w:trPr>
          <w:trHeight w:val="791"/>
        </w:trPr>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C70715">
            <w:pPr>
              <w:pStyle w:val="NoSpacing"/>
              <w:rPr>
                <w:lang w:eastAsia="en-US"/>
              </w:rPr>
            </w:pPr>
            <w:r>
              <w:rPr>
                <w:lang w:eastAsia="en-US"/>
              </w:rPr>
              <w:t>22</w:t>
            </w:r>
          </w:p>
        </w:tc>
        <w:tc>
          <w:tcPr>
            <w:tcW w:w="99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C70715">
            <w:pPr>
              <w:pStyle w:val="NoSpacing"/>
              <w:rPr>
                <w:lang w:eastAsia="en-US"/>
              </w:rPr>
            </w:pPr>
            <w:r w:rsidRPr="00FF36F0">
              <w:rPr>
                <w:lang w:eastAsia="en-US"/>
              </w:rPr>
              <w:t>Counsellor</w:t>
            </w:r>
          </w:p>
          <w:p w:rsidR="00714B13" w:rsidRPr="00FF36F0" w:rsidRDefault="00714B13" w:rsidP="00C70715">
            <w:pPr>
              <w:pStyle w:val="NoSpacing"/>
              <w:rPr>
                <w:lang w:eastAsia="en-US"/>
              </w:rPr>
            </w:pPr>
            <w:r w:rsidRPr="00FF36F0">
              <w:rPr>
                <w:lang w:eastAsia="en-US"/>
              </w:rPr>
              <w:t>(1  day per week)</w:t>
            </w: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0F2479">
            <w:pPr>
              <w:pStyle w:val="NoSpacing"/>
              <w:jc w:val="right"/>
              <w:rPr>
                <w:lang w:eastAsia="en-US"/>
              </w:rPr>
            </w:pPr>
            <w:r w:rsidRPr="00FF36F0">
              <w:rPr>
                <w:lang w:eastAsia="en-US"/>
              </w:rPr>
              <w:t>£</w:t>
            </w:r>
            <w:r w:rsidR="000F2479">
              <w:rPr>
                <w:lang w:eastAsia="en-US"/>
              </w:rPr>
              <w:t>7040.00</w:t>
            </w:r>
          </w:p>
        </w:tc>
        <w:tc>
          <w:tcPr>
            <w:tcW w:w="1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C70715">
            <w:pPr>
              <w:pStyle w:val="NoSpacing"/>
              <w:rPr>
                <w:lang w:eastAsia="en-US"/>
              </w:rPr>
            </w:pPr>
            <w:r w:rsidRPr="00FF36F0">
              <w:rPr>
                <w:lang w:eastAsia="en-US"/>
              </w:rPr>
              <w:t>To support children who have emotional needs.</w:t>
            </w:r>
          </w:p>
        </w:tc>
        <w:tc>
          <w:tcPr>
            <w:tcW w:w="183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5F32AE">
            <w:pPr>
              <w:pStyle w:val="NoSpacing"/>
              <w:rPr>
                <w:lang w:eastAsia="en-US"/>
              </w:rPr>
            </w:pPr>
            <w:r>
              <w:rPr>
                <w:lang w:eastAsia="en-US"/>
              </w:rPr>
              <w:t>The counsellor has worked with xx children individually and run ‘Brick Club’ for a small group. He has helped children with a range of problems including anxiety, bereavement, low self-esteem, families in crisis and children coping with long-term medical conditions. He is a valuable resource for the school and there is always a waiting list.</w:t>
            </w: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EB1915">
            <w:pPr>
              <w:pStyle w:val="NoSpacing"/>
              <w:rPr>
                <w:lang w:eastAsia="en-US"/>
              </w:rPr>
            </w:pPr>
            <w:r>
              <w:rPr>
                <w:lang w:eastAsia="en-US"/>
              </w:rPr>
              <w:t>23</w:t>
            </w:r>
          </w:p>
        </w:tc>
        <w:tc>
          <w:tcPr>
            <w:tcW w:w="99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EB1915">
            <w:pPr>
              <w:pStyle w:val="NoSpacing"/>
              <w:rPr>
                <w:lang w:eastAsia="en-US"/>
              </w:rPr>
            </w:pPr>
            <w:r w:rsidRPr="00FF36F0">
              <w:rPr>
                <w:lang w:eastAsia="en-US"/>
              </w:rPr>
              <w:t>Family Practitioner</w:t>
            </w:r>
          </w:p>
          <w:p w:rsidR="00714B13" w:rsidRPr="00FF36F0" w:rsidRDefault="00714B13" w:rsidP="00EB1915">
            <w:pPr>
              <w:pStyle w:val="NoSpacing"/>
              <w:rPr>
                <w:lang w:eastAsia="en-US"/>
              </w:rPr>
            </w:pPr>
            <w:r w:rsidRPr="00FF36F0">
              <w:rPr>
                <w:lang w:eastAsia="en-US"/>
              </w:rPr>
              <w:t>(2 days a week)</w:t>
            </w: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0F2479">
            <w:pPr>
              <w:pStyle w:val="NoSpacing"/>
              <w:jc w:val="right"/>
              <w:rPr>
                <w:lang w:eastAsia="en-US"/>
              </w:rPr>
            </w:pPr>
            <w:r w:rsidRPr="00FF36F0">
              <w:rPr>
                <w:lang w:eastAsia="en-US"/>
              </w:rPr>
              <w:t>£</w:t>
            </w:r>
            <w:r>
              <w:rPr>
                <w:lang w:eastAsia="en-US"/>
              </w:rPr>
              <w:t>1</w:t>
            </w:r>
            <w:r w:rsidR="000F2479">
              <w:rPr>
                <w:lang w:eastAsia="en-US"/>
              </w:rPr>
              <w:t>1094.90</w:t>
            </w:r>
          </w:p>
        </w:tc>
        <w:tc>
          <w:tcPr>
            <w:tcW w:w="1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F65D35">
            <w:pPr>
              <w:pStyle w:val="NoSpacing"/>
              <w:rPr>
                <w:lang w:eastAsia="en-US"/>
              </w:rPr>
            </w:pPr>
            <w:r w:rsidRPr="00FF36F0">
              <w:rPr>
                <w:lang w:eastAsia="en-US"/>
              </w:rPr>
              <w:t xml:space="preserve">To provide early help to vulnerable families, parenting classes, advice </w:t>
            </w:r>
            <w:r>
              <w:rPr>
                <w:lang w:eastAsia="en-US"/>
              </w:rPr>
              <w:t>e.g</w:t>
            </w:r>
            <w:r w:rsidRPr="00FF36F0">
              <w:rPr>
                <w:lang w:eastAsia="en-US"/>
              </w:rPr>
              <w:t>.</w:t>
            </w:r>
            <w:r>
              <w:rPr>
                <w:lang w:eastAsia="en-US"/>
              </w:rPr>
              <w:t xml:space="preserve"> </w:t>
            </w:r>
            <w:r w:rsidRPr="00FF36F0">
              <w:rPr>
                <w:lang w:eastAsia="en-US"/>
              </w:rPr>
              <w:t xml:space="preserve">domestic violence, </w:t>
            </w:r>
            <w:r>
              <w:rPr>
                <w:lang w:eastAsia="en-US"/>
              </w:rPr>
              <w:t xml:space="preserve">PPP, Sibling Rivalry, </w:t>
            </w:r>
            <w:r w:rsidRPr="00FF36F0">
              <w:rPr>
                <w:lang w:eastAsia="en-US"/>
              </w:rPr>
              <w:t xml:space="preserve">bereavement, toileting. </w:t>
            </w:r>
            <w:r w:rsidR="00BC070B">
              <w:rPr>
                <w:lang w:eastAsia="en-US"/>
              </w:rPr>
              <w:t>(Staffing cost, premises rental and resources)</w:t>
            </w:r>
          </w:p>
        </w:tc>
        <w:tc>
          <w:tcPr>
            <w:tcW w:w="183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5F32AE">
            <w:pPr>
              <w:pStyle w:val="NoSpacing"/>
              <w:rPr>
                <w:lang w:eastAsia="en-US"/>
              </w:rPr>
            </w:pPr>
            <w:r>
              <w:rPr>
                <w:lang w:eastAsia="en-US"/>
              </w:rPr>
              <w:t xml:space="preserve">The Family Practitioner provided valuable support for vulnerable families. Although this role will be phased out, we now employ a fulltime Safeguarding and Welfare officer. However, we are still able to access specific agencies and support as required. </w:t>
            </w: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Default="00714B13" w:rsidP="00EB1915">
            <w:pPr>
              <w:pStyle w:val="NoSpacing"/>
              <w:rPr>
                <w:lang w:eastAsia="en-US"/>
              </w:rPr>
            </w:pPr>
            <w:r>
              <w:rPr>
                <w:lang w:eastAsia="en-US"/>
              </w:rPr>
              <w:t>24</w:t>
            </w:r>
          </w:p>
        </w:tc>
        <w:tc>
          <w:tcPr>
            <w:tcW w:w="99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Default="00714B13" w:rsidP="00EB1915">
            <w:pPr>
              <w:pStyle w:val="NoSpacing"/>
              <w:rPr>
                <w:lang w:eastAsia="en-US"/>
              </w:rPr>
            </w:pPr>
            <w:r>
              <w:rPr>
                <w:lang w:eastAsia="en-US"/>
              </w:rPr>
              <w:t>BSS/CIR now CISS</w:t>
            </w: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Default="00714B13" w:rsidP="000F2479">
            <w:pPr>
              <w:pStyle w:val="NoSpacing"/>
              <w:jc w:val="right"/>
              <w:rPr>
                <w:lang w:eastAsia="en-US"/>
              </w:rPr>
            </w:pPr>
            <w:r>
              <w:rPr>
                <w:lang w:eastAsia="en-US"/>
              </w:rPr>
              <w:t>£</w:t>
            </w:r>
            <w:r w:rsidR="000F2479">
              <w:rPr>
                <w:lang w:eastAsia="en-US"/>
              </w:rPr>
              <w:t>35.00</w:t>
            </w:r>
          </w:p>
        </w:tc>
        <w:tc>
          <w:tcPr>
            <w:tcW w:w="1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Default="00714B13" w:rsidP="00E37135">
            <w:pPr>
              <w:pStyle w:val="NoSpacing"/>
              <w:rPr>
                <w:lang w:eastAsia="en-US"/>
              </w:rPr>
            </w:pPr>
            <w:r>
              <w:rPr>
                <w:lang w:eastAsia="en-US"/>
              </w:rPr>
              <w:t xml:space="preserve">To provide support for staff, families and children with ASD and/or EBD. </w:t>
            </w:r>
          </w:p>
        </w:tc>
        <w:tc>
          <w:tcPr>
            <w:tcW w:w="183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FF36F0">
            <w:pPr>
              <w:pStyle w:val="NoSpacing"/>
              <w:rPr>
                <w:lang w:eastAsia="en-US"/>
              </w:rPr>
            </w:pPr>
            <w:r>
              <w:rPr>
                <w:lang w:eastAsia="en-US"/>
              </w:rPr>
              <w:t>Regular visits from both BSS and CIR have enabled us to support some of our most challenging children and those with complex needs. Furthermore, our staff are supported by the expertise of these external agencies.</w:t>
            </w: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Default="00714B13" w:rsidP="00EB1915">
            <w:pPr>
              <w:pStyle w:val="NoSpacing"/>
              <w:rPr>
                <w:lang w:eastAsia="en-US"/>
              </w:rPr>
            </w:pPr>
            <w:r>
              <w:rPr>
                <w:lang w:eastAsia="en-US"/>
              </w:rPr>
              <w:t>25</w:t>
            </w:r>
          </w:p>
        </w:tc>
        <w:tc>
          <w:tcPr>
            <w:tcW w:w="99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EB1915">
            <w:pPr>
              <w:pStyle w:val="NoSpacing"/>
              <w:rPr>
                <w:lang w:eastAsia="en-US"/>
              </w:rPr>
            </w:pPr>
            <w:r>
              <w:rPr>
                <w:lang w:eastAsia="en-US"/>
              </w:rPr>
              <w:t>Training Bu</w:t>
            </w:r>
            <w:r w:rsidR="009F60C6">
              <w:rPr>
                <w:lang w:eastAsia="en-US"/>
              </w:rPr>
              <w:t>l</w:t>
            </w:r>
            <w:r>
              <w:rPr>
                <w:lang w:eastAsia="en-US"/>
              </w:rPr>
              <w:t>lyling to Bereavement</w:t>
            </w:r>
            <w:r w:rsidR="009F60C6">
              <w:rPr>
                <w:lang w:eastAsia="en-US"/>
              </w:rPr>
              <w:t>, Behaviour Support</w:t>
            </w: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0F2479">
            <w:pPr>
              <w:pStyle w:val="NoSpacing"/>
              <w:jc w:val="right"/>
              <w:rPr>
                <w:lang w:eastAsia="en-US"/>
              </w:rPr>
            </w:pPr>
            <w:r>
              <w:rPr>
                <w:lang w:eastAsia="en-US"/>
              </w:rPr>
              <w:t>£35</w:t>
            </w:r>
            <w:r w:rsidR="000F2479">
              <w:rPr>
                <w:lang w:eastAsia="en-US"/>
              </w:rPr>
              <w:t>6.00</w:t>
            </w:r>
          </w:p>
        </w:tc>
        <w:tc>
          <w:tcPr>
            <w:tcW w:w="1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EB1915">
            <w:pPr>
              <w:pStyle w:val="NoSpacing"/>
              <w:rPr>
                <w:lang w:eastAsia="en-US"/>
              </w:rPr>
            </w:pPr>
            <w:r>
              <w:rPr>
                <w:lang w:eastAsia="en-US"/>
              </w:rPr>
              <w:t>To provide essential support to vulnerable children and families.</w:t>
            </w:r>
          </w:p>
        </w:tc>
        <w:tc>
          <w:tcPr>
            <w:tcW w:w="183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FF36F0">
            <w:pPr>
              <w:pStyle w:val="NoSpacing"/>
              <w:rPr>
                <w:lang w:eastAsia="en-US"/>
              </w:rPr>
            </w:pPr>
            <w:r>
              <w:rPr>
                <w:lang w:eastAsia="en-US"/>
              </w:rPr>
              <w:t>Staff have the skills to support vulnerable children and families.</w:t>
            </w: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Default="00714B13" w:rsidP="00EB1915">
            <w:pPr>
              <w:pStyle w:val="NoSpacing"/>
              <w:rPr>
                <w:lang w:eastAsia="en-US"/>
              </w:rPr>
            </w:pPr>
            <w:r>
              <w:rPr>
                <w:lang w:eastAsia="en-US"/>
              </w:rPr>
              <w:lastRenderedPageBreak/>
              <w:t>26</w:t>
            </w:r>
          </w:p>
        </w:tc>
        <w:tc>
          <w:tcPr>
            <w:tcW w:w="99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Default="00714B13" w:rsidP="00EB1915">
            <w:pPr>
              <w:pStyle w:val="NoSpacing"/>
              <w:rPr>
                <w:lang w:eastAsia="en-US"/>
              </w:rPr>
            </w:pP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Default="00714B13" w:rsidP="00E37135">
            <w:pPr>
              <w:pStyle w:val="NoSpacing"/>
              <w:jc w:val="right"/>
              <w:rPr>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Default="00714B13" w:rsidP="00EB1915">
            <w:pPr>
              <w:pStyle w:val="NoSpacing"/>
              <w:rPr>
                <w:lang w:eastAsia="en-US"/>
              </w:rPr>
            </w:pPr>
          </w:p>
        </w:tc>
        <w:tc>
          <w:tcPr>
            <w:tcW w:w="183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5A1F47">
            <w:pPr>
              <w:pStyle w:val="NoSpacing"/>
              <w:rPr>
                <w:lang w:eastAsia="en-US"/>
              </w:rPr>
            </w:pP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C70715">
            <w:pPr>
              <w:pStyle w:val="NoSpacing"/>
              <w:rPr>
                <w:lang w:eastAsia="en-US"/>
              </w:rPr>
            </w:pPr>
            <w:r>
              <w:rPr>
                <w:lang w:eastAsia="en-US"/>
              </w:rPr>
              <w:t>27</w:t>
            </w:r>
          </w:p>
        </w:tc>
        <w:tc>
          <w:tcPr>
            <w:tcW w:w="99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C70715">
            <w:pPr>
              <w:pStyle w:val="NoSpacing"/>
              <w:rPr>
                <w:lang w:eastAsia="en-US"/>
              </w:rPr>
            </w:pPr>
            <w:r w:rsidRPr="00FF36F0">
              <w:rPr>
                <w:lang w:eastAsia="en-US"/>
              </w:rPr>
              <w:t>Room rental, resources and refreshments.</w:t>
            </w: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0F2479">
            <w:pPr>
              <w:pStyle w:val="NoSpacing"/>
              <w:jc w:val="right"/>
              <w:rPr>
                <w:lang w:eastAsia="en-US"/>
              </w:rPr>
            </w:pPr>
            <w:r w:rsidRPr="00FF36F0">
              <w:rPr>
                <w:lang w:eastAsia="en-US"/>
              </w:rPr>
              <w:t>£</w:t>
            </w:r>
            <w:r w:rsidR="000F2479">
              <w:rPr>
                <w:lang w:eastAsia="en-US"/>
              </w:rPr>
              <w:t>589.69</w:t>
            </w:r>
          </w:p>
        </w:tc>
        <w:tc>
          <w:tcPr>
            <w:tcW w:w="1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C70715">
            <w:pPr>
              <w:pStyle w:val="NoSpacing"/>
              <w:rPr>
                <w:lang w:eastAsia="en-US"/>
              </w:rPr>
            </w:pPr>
            <w:r w:rsidRPr="00FF36F0">
              <w:rPr>
                <w:lang w:eastAsia="en-US"/>
              </w:rPr>
              <w:t>To provide parenting classes, sibling rivalry classes, positive play sessions etc.</w:t>
            </w:r>
          </w:p>
        </w:tc>
        <w:tc>
          <w:tcPr>
            <w:tcW w:w="183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5C3603">
            <w:pPr>
              <w:pStyle w:val="NoSpacing"/>
              <w:rPr>
                <w:lang w:eastAsia="en-US"/>
              </w:rPr>
            </w:pPr>
            <w:r>
              <w:rPr>
                <w:lang w:eastAsia="en-US"/>
              </w:rPr>
              <w:t>The school has run a series of weekly parenting classes over the year. Due to restricted space in school we needed a separate venue. Sometimes, it is also more appropriate to hold these sessions away from the school. The classes were well attended and we have been asked for similar sessions next year.</w:t>
            </w: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C72CBC" w:rsidP="00C70715">
            <w:pPr>
              <w:pStyle w:val="NoSpacing"/>
              <w:rPr>
                <w:lang w:eastAsia="en-US"/>
              </w:rPr>
            </w:pPr>
            <w:r>
              <w:rPr>
                <w:lang w:eastAsia="en-US"/>
              </w:rPr>
              <w:t>28</w:t>
            </w:r>
          </w:p>
        </w:tc>
        <w:tc>
          <w:tcPr>
            <w:tcW w:w="99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C70715">
            <w:pPr>
              <w:pStyle w:val="NoSpacing"/>
              <w:rPr>
                <w:lang w:eastAsia="en-US"/>
              </w:rPr>
            </w:pP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E37135">
            <w:pPr>
              <w:pStyle w:val="NoSpacing"/>
              <w:jc w:val="right"/>
              <w:rPr>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C70715">
            <w:pPr>
              <w:pStyle w:val="NoSpacing"/>
              <w:rPr>
                <w:lang w:eastAsia="en-US"/>
              </w:rPr>
            </w:pPr>
          </w:p>
        </w:tc>
        <w:tc>
          <w:tcPr>
            <w:tcW w:w="183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4B13" w:rsidRPr="00FF36F0" w:rsidRDefault="00714B13" w:rsidP="00FF36F0">
            <w:pPr>
              <w:pStyle w:val="NoSpacing"/>
              <w:rPr>
                <w:lang w:eastAsia="en-US"/>
              </w:rPr>
            </w:pPr>
          </w:p>
        </w:tc>
      </w:tr>
      <w:tr w:rsidR="00740574" w:rsidRPr="00FF36F0" w:rsidTr="00075D7C">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40574" w:rsidRPr="00FF36F0" w:rsidRDefault="00C72CBC" w:rsidP="00C70715">
            <w:pPr>
              <w:pStyle w:val="NoSpacing"/>
              <w:rPr>
                <w:lang w:eastAsia="en-US"/>
              </w:rPr>
            </w:pPr>
            <w:r>
              <w:rPr>
                <w:lang w:eastAsia="en-US"/>
              </w:rPr>
              <w:t>29</w:t>
            </w:r>
          </w:p>
        </w:tc>
        <w:tc>
          <w:tcPr>
            <w:tcW w:w="99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40574" w:rsidRPr="00FF36F0" w:rsidRDefault="00740574" w:rsidP="00C70715">
            <w:pPr>
              <w:pStyle w:val="NoSpacing"/>
              <w:rPr>
                <w:lang w:eastAsia="en-US"/>
              </w:rPr>
            </w:pPr>
            <w:r>
              <w:rPr>
                <w:lang w:eastAsia="en-US"/>
              </w:rPr>
              <w:t>Tesco Project</w:t>
            </w: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40574" w:rsidRPr="00FF36F0" w:rsidRDefault="00740574" w:rsidP="00E37135">
            <w:pPr>
              <w:pStyle w:val="NoSpacing"/>
              <w:jc w:val="right"/>
              <w:rPr>
                <w:lang w:eastAsia="en-US"/>
              </w:rPr>
            </w:pPr>
            <w:r>
              <w:rPr>
                <w:lang w:eastAsia="en-US"/>
              </w:rPr>
              <w:t>£4000</w:t>
            </w:r>
            <w:r w:rsidR="000F7F1A">
              <w:rPr>
                <w:lang w:eastAsia="en-US"/>
              </w:rPr>
              <w:t>.00</w:t>
            </w:r>
          </w:p>
        </w:tc>
        <w:tc>
          <w:tcPr>
            <w:tcW w:w="1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40574" w:rsidRPr="00FF36F0" w:rsidRDefault="00740574" w:rsidP="00C70715">
            <w:pPr>
              <w:pStyle w:val="NoSpacing"/>
              <w:rPr>
                <w:lang w:eastAsia="en-US"/>
              </w:rPr>
            </w:pPr>
            <w:r>
              <w:rPr>
                <w:lang w:eastAsia="en-US"/>
              </w:rPr>
              <w:t>School contribution to project financed by Tesco to provide a sensory learning environment and to enrich the outside learning environment.</w:t>
            </w:r>
          </w:p>
        </w:tc>
        <w:tc>
          <w:tcPr>
            <w:tcW w:w="183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40574" w:rsidRDefault="00C72CBC" w:rsidP="00FF36F0">
            <w:pPr>
              <w:pStyle w:val="NoSpacing"/>
              <w:rPr>
                <w:lang w:eastAsia="en-US"/>
              </w:rPr>
            </w:pPr>
            <w:r>
              <w:rPr>
                <w:lang w:eastAsia="en-US"/>
              </w:rPr>
              <w:t>The outside learning area has been developed and is used by all children and staff . This has had a positive impact on the behaviour of children at lunchtime and more outside learning is taking place which engages children.</w:t>
            </w:r>
          </w:p>
        </w:tc>
      </w:tr>
      <w:tr w:rsidR="00714B13" w:rsidRPr="00FF36F0" w:rsidTr="00075D7C">
        <w:tc>
          <w:tcPr>
            <w:tcW w:w="250" w:type="pct"/>
            <w:tcBorders>
              <w:top w:val="single" w:sz="4" w:space="0" w:color="auto"/>
              <w:left w:val="single" w:sz="4" w:space="0" w:color="auto"/>
              <w:bottom w:val="single" w:sz="4" w:space="0" w:color="auto"/>
              <w:right w:val="single" w:sz="4" w:space="0" w:color="auto"/>
            </w:tcBorders>
          </w:tcPr>
          <w:p w:rsidR="00714B13" w:rsidRPr="00FF36F0" w:rsidRDefault="00714B13" w:rsidP="00FF36F0">
            <w:pPr>
              <w:pStyle w:val="NoSpacing"/>
              <w:rPr>
                <w:lang w:eastAsia="en-US"/>
              </w:rPr>
            </w:pPr>
          </w:p>
        </w:tc>
        <w:tc>
          <w:tcPr>
            <w:tcW w:w="995" w:type="pct"/>
            <w:tcBorders>
              <w:top w:val="single" w:sz="4" w:space="0" w:color="auto"/>
              <w:left w:val="single" w:sz="4" w:space="0" w:color="auto"/>
              <w:bottom w:val="single" w:sz="4" w:space="0" w:color="auto"/>
              <w:right w:val="single" w:sz="4" w:space="0" w:color="auto"/>
            </w:tcBorders>
            <w:hideMark/>
          </w:tcPr>
          <w:p w:rsidR="00714B13" w:rsidRPr="00FF36F0" w:rsidRDefault="00714B13" w:rsidP="00FF36F0">
            <w:pPr>
              <w:pStyle w:val="NoSpacing"/>
              <w:rPr>
                <w:lang w:eastAsia="en-US"/>
              </w:rPr>
            </w:pPr>
            <w:r w:rsidRPr="00FF36F0">
              <w:rPr>
                <w:lang w:eastAsia="en-US"/>
              </w:rPr>
              <w:t>Total spent</w:t>
            </w:r>
          </w:p>
        </w:tc>
        <w:tc>
          <w:tcPr>
            <w:tcW w:w="881" w:type="pct"/>
            <w:tcBorders>
              <w:top w:val="single" w:sz="4" w:space="0" w:color="auto"/>
              <w:left w:val="single" w:sz="4" w:space="0" w:color="auto"/>
              <w:bottom w:val="single" w:sz="4" w:space="0" w:color="auto"/>
              <w:right w:val="single" w:sz="4" w:space="0" w:color="auto"/>
            </w:tcBorders>
            <w:vAlign w:val="bottom"/>
          </w:tcPr>
          <w:p w:rsidR="00714B13" w:rsidRPr="00FF36F0" w:rsidRDefault="00075D7C" w:rsidP="00075D7C">
            <w:pPr>
              <w:pStyle w:val="NoSpacing"/>
              <w:jc w:val="right"/>
              <w:rPr>
                <w:lang w:eastAsia="en-US"/>
              </w:rPr>
            </w:pPr>
            <w:r>
              <w:rPr>
                <w:lang w:eastAsia="en-US"/>
              </w:rPr>
              <w:t>£134,775.66</w:t>
            </w:r>
          </w:p>
        </w:tc>
        <w:tc>
          <w:tcPr>
            <w:tcW w:w="1043" w:type="pct"/>
            <w:tcBorders>
              <w:top w:val="single" w:sz="4" w:space="0" w:color="auto"/>
              <w:left w:val="single" w:sz="4" w:space="0" w:color="auto"/>
              <w:bottom w:val="single" w:sz="4" w:space="0" w:color="auto"/>
              <w:right w:val="single" w:sz="4" w:space="0" w:color="auto"/>
            </w:tcBorders>
          </w:tcPr>
          <w:p w:rsidR="00714B13" w:rsidRPr="00FF36F0" w:rsidRDefault="00714B13" w:rsidP="00FF36F0">
            <w:pPr>
              <w:pStyle w:val="NoSpacing"/>
              <w:rPr>
                <w:lang w:eastAsia="en-US"/>
              </w:rPr>
            </w:pPr>
          </w:p>
        </w:tc>
        <w:tc>
          <w:tcPr>
            <w:tcW w:w="1831" w:type="pct"/>
            <w:tcBorders>
              <w:top w:val="single" w:sz="4" w:space="0" w:color="auto"/>
              <w:left w:val="single" w:sz="4" w:space="0" w:color="auto"/>
              <w:bottom w:val="single" w:sz="4" w:space="0" w:color="auto"/>
              <w:right w:val="single" w:sz="4" w:space="0" w:color="auto"/>
            </w:tcBorders>
          </w:tcPr>
          <w:p w:rsidR="00714B13" w:rsidRPr="00FF36F0" w:rsidRDefault="00714B13" w:rsidP="00FF36F0">
            <w:pPr>
              <w:pStyle w:val="NoSpacing"/>
              <w:rPr>
                <w:lang w:eastAsia="en-US"/>
              </w:rPr>
            </w:pPr>
          </w:p>
        </w:tc>
      </w:tr>
    </w:tbl>
    <w:p w:rsidR="00E80351" w:rsidRDefault="00E80351" w:rsidP="00056C0A"/>
    <w:sectPr w:rsidR="00E80351" w:rsidSect="00FF36F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E5" w:rsidRDefault="007420E5" w:rsidP="007769C7">
      <w:pPr>
        <w:spacing w:after="0" w:line="240" w:lineRule="auto"/>
      </w:pPr>
      <w:r>
        <w:separator/>
      </w:r>
    </w:p>
  </w:endnote>
  <w:endnote w:type="continuationSeparator" w:id="0">
    <w:p w:rsidR="007420E5" w:rsidRDefault="007420E5" w:rsidP="0077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7" w:rsidRDefault="00776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53822"/>
      <w:docPartObj>
        <w:docPartGallery w:val="Page Numbers (Bottom of Page)"/>
        <w:docPartUnique/>
      </w:docPartObj>
    </w:sdtPr>
    <w:sdtEndPr>
      <w:rPr>
        <w:noProof/>
      </w:rPr>
    </w:sdtEndPr>
    <w:sdtContent>
      <w:p w:rsidR="007769C7" w:rsidRDefault="007769C7">
        <w:pPr>
          <w:pStyle w:val="Footer"/>
          <w:jc w:val="center"/>
        </w:pPr>
        <w:r>
          <w:fldChar w:fldCharType="begin"/>
        </w:r>
        <w:r>
          <w:instrText xml:space="preserve"> PAGE   \* MERGEFORMAT </w:instrText>
        </w:r>
        <w:r>
          <w:fldChar w:fldCharType="separate"/>
        </w:r>
        <w:r w:rsidR="006E66A9">
          <w:rPr>
            <w:noProof/>
          </w:rPr>
          <w:t>2</w:t>
        </w:r>
        <w:r>
          <w:rPr>
            <w:noProof/>
          </w:rPr>
          <w:fldChar w:fldCharType="end"/>
        </w:r>
      </w:p>
    </w:sdtContent>
  </w:sdt>
  <w:p w:rsidR="007769C7" w:rsidRDefault="00776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7" w:rsidRDefault="00776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E5" w:rsidRDefault="007420E5" w:rsidP="007769C7">
      <w:pPr>
        <w:spacing w:after="0" w:line="240" w:lineRule="auto"/>
      </w:pPr>
      <w:r>
        <w:separator/>
      </w:r>
    </w:p>
  </w:footnote>
  <w:footnote w:type="continuationSeparator" w:id="0">
    <w:p w:rsidR="007420E5" w:rsidRDefault="007420E5" w:rsidP="00776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7" w:rsidRDefault="007420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314" o:spid="_x0000_s2050" type="#_x0000_t75" style="position:absolute;margin-left:0;margin-top:0;width:451.25pt;height:486.25pt;z-index:-251657216;mso-position-horizontal:center;mso-position-horizontal-relative:margin;mso-position-vertical:center;mso-position-vertical-relative:margin" o:allowincell="f">
          <v:imagedata r:id="rId1" o:title="Forest logo-onl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7" w:rsidRDefault="007420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315" o:spid="_x0000_s2051" type="#_x0000_t75" style="position:absolute;margin-left:0;margin-top:0;width:451.25pt;height:486.25pt;z-index:-251656192;mso-position-horizontal:center;mso-position-horizontal-relative:margin;mso-position-vertical:center;mso-position-vertical-relative:margin" o:allowincell="f">
          <v:imagedata r:id="rId1" o:title="Forest logo-onl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7" w:rsidRDefault="007420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313" o:spid="_x0000_s2049" type="#_x0000_t75" style="position:absolute;margin-left:0;margin-top:0;width:451.25pt;height:486.25pt;z-index:-251658240;mso-position-horizontal:center;mso-position-horizontal-relative:margin;mso-position-vertical:center;mso-position-vertical-relative:margin" o:allowincell="f">
          <v:imagedata r:id="rId1" o:title="Forest logo-onl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4760"/>
    <w:multiLevelType w:val="hybridMultilevel"/>
    <w:tmpl w:val="FA12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1B7545"/>
    <w:multiLevelType w:val="hybridMultilevel"/>
    <w:tmpl w:val="D7F2F6CC"/>
    <w:lvl w:ilvl="0" w:tplc="9A3C5B46">
      <w:start w:val="1"/>
      <w:numFmt w:val="bullet"/>
      <w:pStyle w:val="Bullet1"/>
      <w:lvlText w:val=""/>
      <w:lvlJc w:val="left"/>
      <w:pPr>
        <w:ind w:left="84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C5"/>
    <w:rsid w:val="00011696"/>
    <w:rsid w:val="000157DB"/>
    <w:rsid w:val="00016F9A"/>
    <w:rsid w:val="000340EA"/>
    <w:rsid w:val="00056C0A"/>
    <w:rsid w:val="00075D7C"/>
    <w:rsid w:val="00094AEA"/>
    <w:rsid w:val="000A6F10"/>
    <w:rsid w:val="000B3038"/>
    <w:rsid w:val="000F040B"/>
    <w:rsid w:val="000F2479"/>
    <w:rsid w:val="000F7178"/>
    <w:rsid w:val="000F7F1A"/>
    <w:rsid w:val="000F7FDE"/>
    <w:rsid w:val="00101F70"/>
    <w:rsid w:val="001101F7"/>
    <w:rsid w:val="00114169"/>
    <w:rsid w:val="00115EE0"/>
    <w:rsid w:val="00132ECB"/>
    <w:rsid w:val="0016476D"/>
    <w:rsid w:val="00165514"/>
    <w:rsid w:val="00177136"/>
    <w:rsid w:val="00182B6F"/>
    <w:rsid w:val="00190270"/>
    <w:rsid w:val="001B1586"/>
    <w:rsid w:val="001C6A30"/>
    <w:rsid w:val="001F0BE1"/>
    <w:rsid w:val="00226827"/>
    <w:rsid w:val="0022788F"/>
    <w:rsid w:val="00242562"/>
    <w:rsid w:val="00286300"/>
    <w:rsid w:val="002C4A95"/>
    <w:rsid w:val="002C66D9"/>
    <w:rsid w:val="002D1DA0"/>
    <w:rsid w:val="00314F8A"/>
    <w:rsid w:val="00317D43"/>
    <w:rsid w:val="00320544"/>
    <w:rsid w:val="00343DDC"/>
    <w:rsid w:val="0034559E"/>
    <w:rsid w:val="003D301C"/>
    <w:rsid w:val="00407CB5"/>
    <w:rsid w:val="00424480"/>
    <w:rsid w:val="00472AFF"/>
    <w:rsid w:val="004B6DB6"/>
    <w:rsid w:val="004D1475"/>
    <w:rsid w:val="00517325"/>
    <w:rsid w:val="00531329"/>
    <w:rsid w:val="0053590D"/>
    <w:rsid w:val="00580993"/>
    <w:rsid w:val="00587D5A"/>
    <w:rsid w:val="005A1F47"/>
    <w:rsid w:val="005A7B6E"/>
    <w:rsid w:val="005B575C"/>
    <w:rsid w:val="005C3603"/>
    <w:rsid w:val="005F32AE"/>
    <w:rsid w:val="00605D94"/>
    <w:rsid w:val="006577EF"/>
    <w:rsid w:val="00660F1E"/>
    <w:rsid w:val="00664490"/>
    <w:rsid w:val="006A3DE7"/>
    <w:rsid w:val="006D3024"/>
    <w:rsid w:val="006D6C0A"/>
    <w:rsid w:val="006E66A9"/>
    <w:rsid w:val="00710779"/>
    <w:rsid w:val="00714B13"/>
    <w:rsid w:val="00725644"/>
    <w:rsid w:val="00740574"/>
    <w:rsid w:val="007420E5"/>
    <w:rsid w:val="007769C7"/>
    <w:rsid w:val="007A4E91"/>
    <w:rsid w:val="007B270D"/>
    <w:rsid w:val="007C7A96"/>
    <w:rsid w:val="007E7D25"/>
    <w:rsid w:val="00816B81"/>
    <w:rsid w:val="00857BF7"/>
    <w:rsid w:val="008656BF"/>
    <w:rsid w:val="008901D7"/>
    <w:rsid w:val="00892369"/>
    <w:rsid w:val="008C0502"/>
    <w:rsid w:val="008C6734"/>
    <w:rsid w:val="008D7EC3"/>
    <w:rsid w:val="008E0D61"/>
    <w:rsid w:val="00950C1D"/>
    <w:rsid w:val="00972095"/>
    <w:rsid w:val="00982AC8"/>
    <w:rsid w:val="009A728C"/>
    <w:rsid w:val="009C06B3"/>
    <w:rsid w:val="009C19AF"/>
    <w:rsid w:val="009D125A"/>
    <w:rsid w:val="009F60C6"/>
    <w:rsid w:val="00A10A00"/>
    <w:rsid w:val="00A44363"/>
    <w:rsid w:val="00A56EC3"/>
    <w:rsid w:val="00A908DA"/>
    <w:rsid w:val="00AC4737"/>
    <w:rsid w:val="00AE1FAB"/>
    <w:rsid w:val="00B96F20"/>
    <w:rsid w:val="00B979C5"/>
    <w:rsid w:val="00BC070B"/>
    <w:rsid w:val="00BE357D"/>
    <w:rsid w:val="00C04DE2"/>
    <w:rsid w:val="00C14668"/>
    <w:rsid w:val="00C24502"/>
    <w:rsid w:val="00C72CBC"/>
    <w:rsid w:val="00CA017D"/>
    <w:rsid w:val="00CA4C12"/>
    <w:rsid w:val="00CE700B"/>
    <w:rsid w:val="00CF6479"/>
    <w:rsid w:val="00D2225B"/>
    <w:rsid w:val="00D32D79"/>
    <w:rsid w:val="00D47B69"/>
    <w:rsid w:val="00D91752"/>
    <w:rsid w:val="00DA1E04"/>
    <w:rsid w:val="00DC0535"/>
    <w:rsid w:val="00DC1CDD"/>
    <w:rsid w:val="00DF0FDC"/>
    <w:rsid w:val="00E37135"/>
    <w:rsid w:val="00E44BAB"/>
    <w:rsid w:val="00E57BFD"/>
    <w:rsid w:val="00E62A7C"/>
    <w:rsid w:val="00E76398"/>
    <w:rsid w:val="00E80351"/>
    <w:rsid w:val="00E96462"/>
    <w:rsid w:val="00EA682C"/>
    <w:rsid w:val="00EB3531"/>
    <w:rsid w:val="00F47F43"/>
    <w:rsid w:val="00F51FCB"/>
    <w:rsid w:val="00F5278A"/>
    <w:rsid w:val="00F52E02"/>
    <w:rsid w:val="00F6117E"/>
    <w:rsid w:val="00F65D35"/>
    <w:rsid w:val="00F67881"/>
    <w:rsid w:val="00F80BA6"/>
    <w:rsid w:val="00FC6066"/>
    <w:rsid w:val="00FD2FD1"/>
    <w:rsid w:val="00FD6C56"/>
    <w:rsid w:val="00FE1EA2"/>
    <w:rsid w:val="00FF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C5"/>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286300"/>
    <w:pPr>
      <w:keepNext/>
      <w:keepLines/>
      <w:spacing w:before="240" w:after="60" w:line="320" w:lineRule="exact"/>
      <w:jc w:val="center"/>
      <w:outlineLvl w:val="0"/>
    </w:pPr>
    <w:rPr>
      <w:rFonts w:ascii="Bradley Hand ITC" w:eastAsiaTheme="majorEastAsia" w:hAnsi="Bradley Hand ITC" w:cstheme="majorBidi"/>
      <w:b/>
      <w:b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00"/>
    <w:rPr>
      <w:rFonts w:ascii="Bradley Hand ITC" w:eastAsiaTheme="majorEastAsia" w:hAnsi="Bradley Hand ITC" w:cstheme="majorBidi"/>
      <w:b/>
      <w:bCs/>
      <w:sz w:val="40"/>
      <w:szCs w:val="40"/>
      <w:u w:val="single"/>
      <w:lang w:eastAsia="en-GB"/>
    </w:rPr>
  </w:style>
  <w:style w:type="character" w:customStyle="1" w:styleId="Bullet1Char">
    <w:name w:val="Bullet 1 Char"/>
    <w:basedOn w:val="DefaultParagraphFont"/>
    <w:link w:val="Bullet1"/>
    <w:locked/>
    <w:rsid w:val="00B979C5"/>
    <w:rPr>
      <w:rFonts w:ascii="Arial" w:eastAsia="Times New Roman" w:hAnsi="Arial" w:cs="Times New Roman"/>
      <w:sz w:val="20"/>
      <w:szCs w:val="20"/>
      <w:lang w:eastAsia="en-GB"/>
    </w:rPr>
  </w:style>
  <w:style w:type="paragraph" w:customStyle="1" w:styleId="Bullet1">
    <w:name w:val="Bullet 1"/>
    <w:basedOn w:val="Normal"/>
    <w:link w:val="Bullet1Char"/>
    <w:qFormat/>
    <w:rsid w:val="00B979C5"/>
    <w:pPr>
      <w:numPr>
        <w:numId w:val="1"/>
      </w:numPr>
      <w:ind w:left="568" w:hanging="284"/>
    </w:pPr>
  </w:style>
  <w:style w:type="table" w:styleId="TableGrid">
    <w:name w:val="Table Grid"/>
    <w:basedOn w:val="TableNormal"/>
    <w:uiPriority w:val="59"/>
    <w:rsid w:val="00B979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9C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776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9C7"/>
    <w:rPr>
      <w:rFonts w:ascii="Arial" w:eastAsia="Times New Roman" w:hAnsi="Arial" w:cs="Times New Roman"/>
      <w:sz w:val="20"/>
      <w:szCs w:val="20"/>
      <w:lang w:eastAsia="en-GB"/>
    </w:rPr>
  </w:style>
  <w:style w:type="paragraph" w:styleId="NoSpacing">
    <w:name w:val="No Spacing"/>
    <w:uiPriority w:val="1"/>
    <w:qFormat/>
    <w:rsid w:val="00FF36F0"/>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7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7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C5"/>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286300"/>
    <w:pPr>
      <w:keepNext/>
      <w:keepLines/>
      <w:spacing w:before="240" w:after="60" w:line="320" w:lineRule="exact"/>
      <w:jc w:val="center"/>
      <w:outlineLvl w:val="0"/>
    </w:pPr>
    <w:rPr>
      <w:rFonts w:ascii="Bradley Hand ITC" w:eastAsiaTheme="majorEastAsia" w:hAnsi="Bradley Hand ITC" w:cstheme="majorBidi"/>
      <w:b/>
      <w:b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00"/>
    <w:rPr>
      <w:rFonts w:ascii="Bradley Hand ITC" w:eastAsiaTheme="majorEastAsia" w:hAnsi="Bradley Hand ITC" w:cstheme="majorBidi"/>
      <w:b/>
      <w:bCs/>
      <w:sz w:val="40"/>
      <w:szCs w:val="40"/>
      <w:u w:val="single"/>
      <w:lang w:eastAsia="en-GB"/>
    </w:rPr>
  </w:style>
  <w:style w:type="character" w:customStyle="1" w:styleId="Bullet1Char">
    <w:name w:val="Bullet 1 Char"/>
    <w:basedOn w:val="DefaultParagraphFont"/>
    <w:link w:val="Bullet1"/>
    <w:locked/>
    <w:rsid w:val="00B979C5"/>
    <w:rPr>
      <w:rFonts w:ascii="Arial" w:eastAsia="Times New Roman" w:hAnsi="Arial" w:cs="Times New Roman"/>
      <w:sz w:val="20"/>
      <w:szCs w:val="20"/>
      <w:lang w:eastAsia="en-GB"/>
    </w:rPr>
  </w:style>
  <w:style w:type="paragraph" w:customStyle="1" w:styleId="Bullet1">
    <w:name w:val="Bullet 1"/>
    <w:basedOn w:val="Normal"/>
    <w:link w:val="Bullet1Char"/>
    <w:qFormat/>
    <w:rsid w:val="00B979C5"/>
    <w:pPr>
      <w:numPr>
        <w:numId w:val="1"/>
      </w:numPr>
      <w:ind w:left="568" w:hanging="284"/>
    </w:pPr>
  </w:style>
  <w:style w:type="table" w:styleId="TableGrid">
    <w:name w:val="Table Grid"/>
    <w:basedOn w:val="TableNormal"/>
    <w:uiPriority w:val="59"/>
    <w:rsid w:val="00B979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9C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776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9C7"/>
    <w:rPr>
      <w:rFonts w:ascii="Arial" w:eastAsia="Times New Roman" w:hAnsi="Arial" w:cs="Times New Roman"/>
      <w:sz w:val="20"/>
      <w:szCs w:val="20"/>
      <w:lang w:eastAsia="en-GB"/>
    </w:rPr>
  </w:style>
  <w:style w:type="paragraph" w:styleId="NoSpacing">
    <w:name w:val="No Spacing"/>
    <w:uiPriority w:val="1"/>
    <w:qFormat/>
    <w:rsid w:val="00FF36F0"/>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7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7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A439-05D4-483C-8FE7-D72813EC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dc:creator>
  <cp:lastModifiedBy>office</cp:lastModifiedBy>
  <cp:revision>2</cp:revision>
  <cp:lastPrinted>2017-10-09T09:09:00Z</cp:lastPrinted>
  <dcterms:created xsi:type="dcterms:W3CDTF">2017-10-09T12:16:00Z</dcterms:created>
  <dcterms:modified xsi:type="dcterms:W3CDTF">2017-10-09T12:16:00Z</dcterms:modified>
</cp:coreProperties>
</file>